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D5" w:rsidRPr="00B266B0" w:rsidRDefault="00BB5AD5" w:rsidP="00BB5AD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 w:eastAsia="ja-JP"/>
        </w:rPr>
      </w:pPr>
      <w:r w:rsidRPr="00B266B0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  <w:lang w:val="en-GB"/>
        </w:rPr>
        <w:t xml:space="preserve">SG-RAN </w:t>
      </w:r>
      <w:r w:rsidRPr="00B266B0">
        <w:rPr>
          <w:noProof w:val="0"/>
          <w:sz w:val="24"/>
          <w:szCs w:val="24"/>
          <w:lang w:val="en-GB"/>
        </w:rPr>
        <w:t>WG2 Meeting #</w:t>
      </w:r>
      <w:r>
        <w:rPr>
          <w:noProof w:val="0"/>
          <w:sz w:val="24"/>
          <w:szCs w:val="24"/>
          <w:lang w:val="en-GB"/>
        </w:rPr>
        <w:t>84</w:t>
      </w:r>
      <w:r w:rsidRPr="00B266B0">
        <w:rPr>
          <w:bCs/>
          <w:noProof w:val="0"/>
          <w:sz w:val="24"/>
          <w:szCs w:val="24"/>
          <w:lang w:val="en-GB"/>
        </w:rPr>
        <w:tab/>
      </w:r>
      <w:r w:rsidRPr="00B266B0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Pr="00B266B0">
        <w:rPr>
          <w:bCs/>
          <w:noProof w:val="0"/>
          <w:sz w:val="24"/>
          <w:szCs w:val="24"/>
          <w:lang w:val="en-GB" w:eastAsia="ja-JP"/>
        </w:rPr>
        <w:t>2</w:t>
      </w:r>
      <w:r w:rsidRPr="00B266B0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Pr="00B266B0">
        <w:rPr>
          <w:bCs/>
          <w:noProof w:val="0"/>
          <w:sz w:val="24"/>
          <w:szCs w:val="24"/>
          <w:lang w:val="en-GB" w:eastAsia="ja-JP"/>
        </w:rPr>
        <w:t>1</w:t>
      </w:r>
      <w:r>
        <w:rPr>
          <w:bCs/>
          <w:noProof w:val="0"/>
          <w:sz w:val="24"/>
          <w:szCs w:val="24"/>
          <w:lang w:val="en-GB" w:eastAsia="ja-JP"/>
        </w:rPr>
        <w:t>3</w:t>
      </w:r>
      <w:r w:rsidR="00B8389D" w:rsidRPr="00B8389D">
        <w:rPr>
          <w:bCs/>
          <w:noProof w:val="0"/>
          <w:sz w:val="24"/>
          <w:szCs w:val="24"/>
          <w:lang w:val="en-GB" w:eastAsia="ja-JP"/>
        </w:rPr>
        <w:t>4346</w:t>
      </w:r>
    </w:p>
    <w:p w:rsidR="00BB5AD5" w:rsidRPr="00B266B0" w:rsidRDefault="00BB5AD5" w:rsidP="00BB5AD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>
        <w:rPr>
          <w:rFonts w:eastAsia="SimSun"/>
          <w:noProof w:val="0"/>
          <w:sz w:val="24"/>
          <w:szCs w:val="24"/>
          <w:lang w:val="en-GB" w:eastAsia="zh-CN"/>
        </w:rPr>
        <w:t>San Francisco, USA</w:t>
      </w:r>
      <w:r w:rsidRPr="00B266B0">
        <w:rPr>
          <w:rFonts w:eastAsia="SimSun"/>
          <w:noProof w:val="0"/>
          <w:sz w:val="24"/>
          <w:szCs w:val="24"/>
          <w:lang w:val="en-GB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GB" w:eastAsia="zh-CN"/>
        </w:rPr>
        <w:t>11 - 15 November 2013</w:t>
      </w:r>
    </w:p>
    <w:p w:rsidR="0034111C" w:rsidRPr="00B266B0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B266B0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1F419E">
        <w:rPr>
          <w:rFonts w:cs="Arial"/>
          <w:b/>
          <w:bCs/>
          <w:sz w:val="24"/>
        </w:rPr>
        <w:t>7.6</w:t>
      </w:r>
      <w:r w:rsidR="00C94EE1">
        <w:rPr>
          <w:rFonts w:cs="Arial"/>
          <w:b/>
          <w:bCs/>
          <w:sz w:val="24"/>
        </w:rPr>
        <w:t>.3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851FD">
        <w:rPr>
          <w:rFonts w:ascii="Arial" w:hAnsi="Arial" w:cs="Arial"/>
          <w:b/>
          <w:bCs/>
          <w:sz w:val="24"/>
        </w:rPr>
        <w:t>NSN</w:t>
      </w:r>
    </w:p>
    <w:p w:rsidR="0034111C" w:rsidRPr="00B266B0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308C">
        <w:rPr>
          <w:rFonts w:ascii="Arial" w:hAnsi="Arial" w:cs="Arial"/>
          <w:b/>
          <w:bCs/>
          <w:sz w:val="24"/>
        </w:rPr>
        <w:t>Considerations on</w:t>
      </w:r>
      <w:r w:rsidR="001F419E" w:rsidRPr="001F419E">
        <w:rPr>
          <w:rFonts w:ascii="Arial" w:hAnsi="Arial" w:cs="Arial"/>
          <w:b/>
          <w:bCs/>
          <w:sz w:val="24"/>
        </w:rPr>
        <w:t xml:space="preserve"> meet</w:t>
      </w:r>
      <w:r w:rsidR="0052308C">
        <w:rPr>
          <w:rFonts w:ascii="Arial" w:hAnsi="Arial" w:cs="Arial"/>
          <w:b/>
          <w:bCs/>
          <w:sz w:val="24"/>
        </w:rPr>
        <w:t>ing</w:t>
      </w:r>
      <w:r w:rsidR="001F419E" w:rsidRPr="001F419E">
        <w:rPr>
          <w:rFonts w:ascii="Arial" w:hAnsi="Arial" w:cs="Arial"/>
          <w:b/>
          <w:bCs/>
          <w:sz w:val="24"/>
        </w:rPr>
        <w:t xml:space="preserve"> </w:t>
      </w:r>
      <w:r w:rsidR="001F419E">
        <w:rPr>
          <w:rFonts w:ascii="Arial" w:hAnsi="Arial" w:cs="Arial"/>
          <w:b/>
          <w:bCs/>
          <w:sz w:val="24"/>
        </w:rPr>
        <w:t>public-</w:t>
      </w:r>
      <w:r w:rsidR="001F419E" w:rsidRPr="001F419E">
        <w:rPr>
          <w:rFonts w:ascii="Arial" w:hAnsi="Arial" w:cs="Arial"/>
          <w:b/>
          <w:bCs/>
          <w:sz w:val="24"/>
        </w:rPr>
        <w:t xml:space="preserve">safety </w:t>
      </w:r>
      <w:r w:rsidR="001F419E">
        <w:rPr>
          <w:rFonts w:ascii="Arial" w:hAnsi="Arial" w:cs="Arial"/>
          <w:b/>
          <w:bCs/>
          <w:sz w:val="24"/>
        </w:rPr>
        <w:t xml:space="preserve">group-communication </w:t>
      </w:r>
      <w:r w:rsidR="001F419E" w:rsidRPr="001F419E">
        <w:rPr>
          <w:rFonts w:ascii="Arial" w:hAnsi="Arial" w:cs="Arial"/>
          <w:b/>
          <w:bCs/>
          <w:sz w:val="24"/>
        </w:rPr>
        <w:t>requirements</w:t>
      </w:r>
      <w:r w:rsidR="0052308C">
        <w:rPr>
          <w:rFonts w:ascii="Arial" w:hAnsi="Arial" w:cs="Arial"/>
          <w:b/>
          <w:bCs/>
          <w:sz w:val="24"/>
        </w:rPr>
        <w:t xml:space="preserve"> with LTE MBMS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34111C" w:rsidRPr="00B266B0" w:rsidRDefault="00C230E8" w:rsidP="00814AB1">
      <w:r>
        <w:t>RAN</w:t>
      </w:r>
      <w:r w:rsidR="009C09FE">
        <w:t>2#83bis started discussion on</w:t>
      </w:r>
      <w:r>
        <w:t xml:space="preserve"> the study item [1] on </w:t>
      </w:r>
      <w:r w:rsidRPr="00C230E8">
        <w:t>Group Communication for LTE</w:t>
      </w:r>
      <w:r>
        <w:t xml:space="preserve">, and </w:t>
      </w:r>
      <w:r w:rsidR="00814AB1">
        <w:t>already captured some analysis in the TR [2]</w:t>
      </w:r>
      <w:r>
        <w:t>.</w:t>
      </w:r>
      <w:r w:rsidR="00814AB1">
        <w:t xml:space="preserve"> This contribution continues the discussion on the part of MBMS</w:t>
      </w:r>
      <w:r w:rsidR="00F452E8">
        <w:t>.</w:t>
      </w:r>
    </w:p>
    <w:p w:rsidR="0034111C" w:rsidRDefault="007211B3">
      <w:pPr>
        <w:pStyle w:val="Heading1"/>
      </w:pPr>
      <w:r>
        <w:t>2</w:t>
      </w:r>
      <w:r w:rsidR="0034111C" w:rsidRPr="00B266B0">
        <w:tab/>
      </w:r>
      <w:r>
        <w:t>Discussion</w:t>
      </w:r>
    </w:p>
    <w:p w:rsidR="0063467E" w:rsidRDefault="0063467E" w:rsidP="0063467E">
      <w:pPr>
        <w:pStyle w:val="Heading2"/>
      </w:pPr>
      <w:r>
        <w:t>2</w:t>
      </w:r>
      <w:r w:rsidRPr="00B266B0">
        <w:t>.</w:t>
      </w:r>
      <w:r>
        <w:t>1</w:t>
      </w:r>
      <w:r w:rsidRPr="00B266B0">
        <w:tab/>
      </w:r>
      <w:r>
        <w:t>Scalability requirement</w:t>
      </w:r>
    </w:p>
    <w:p w:rsidR="0063467E" w:rsidRDefault="00047EE3" w:rsidP="0063467E">
      <w:r>
        <w:t>Whereas the SA1 requirement on scalability states “</w:t>
      </w:r>
      <w:r w:rsidRPr="00047EE3">
        <w:t>The number of Receiver Group Members in any area may be unlimited</w:t>
      </w:r>
      <w:r>
        <w:t xml:space="preserve">”, </w:t>
      </w:r>
      <w:r w:rsidR="00BA24C7">
        <w:t xml:space="preserve">for now the requirement was captured in the </w:t>
      </w:r>
      <w:r w:rsidR="00A471FB">
        <w:t xml:space="preserve">RAN2 </w:t>
      </w:r>
      <w:r w:rsidR="00BA24C7">
        <w:t>TR as follows:</w:t>
      </w:r>
    </w:p>
    <w:p w:rsidR="00BA24C7" w:rsidRDefault="00BA24C7" w:rsidP="00BA24C7">
      <w:pPr>
        <w:ind w:firstLine="284"/>
        <w:rPr>
          <w:i/>
        </w:rPr>
      </w:pPr>
      <w:proofErr w:type="gramStart"/>
      <w:r w:rsidRPr="00BA24C7">
        <w:rPr>
          <w:i/>
        </w:rPr>
        <w:t>the</w:t>
      </w:r>
      <w:proofErr w:type="gramEnd"/>
      <w:r w:rsidRPr="00BA24C7">
        <w:rPr>
          <w:i/>
        </w:rPr>
        <w:t xml:space="preserve"> number of receiver group members in any area may be as large as [value; FFS]</w:t>
      </w:r>
    </w:p>
    <w:p w:rsidR="00AE3D3E" w:rsidRDefault="00F2745C">
      <w:r>
        <w:t>In our view, any alterations to the SA1 requirements that RAN2 may choose to base its work on need to be confirmed with SA1.</w:t>
      </w:r>
    </w:p>
    <w:p w:rsidR="00F2745C" w:rsidRDefault="00F2745C" w:rsidP="00F2745C">
      <w:pPr>
        <w:ind w:left="1420" w:hanging="1135"/>
      </w:pPr>
      <w:r w:rsidRPr="00BA24C7">
        <w:rPr>
          <w:b/>
        </w:rPr>
        <w:t xml:space="preserve">Proposal </w:t>
      </w:r>
      <w:r>
        <w:rPr>
          <w:b/>
        </w:rPr>
        <w:t>1</w:t>
      </w:r>
      <w:r>
        <w:t>:</w:t>
      </w:r>
      <w:r>
        <w:tab/>
        <w:t>Any deviations from the SA1 requirements, if to be adopted by RAN2, are first confirmed with SA1 by LS.</w:t>
      </w:r>
    </w:p>
    <w:p w:rsidR="00AE3D3E" w:rsidRDefault="00F2745C">
      <w:r>
        <w:t>Meanwhile, we acknowledge that the scalability requirement</w:t>
      </w:r>
      <w:r w:rsidR="00BF0B5F">
        <w:t xml:space="preserve"> as currently formulated by SA1 describes only </w:t>
      </w:r>
      <w:r w:rsidR="009452F8">
        <w:t xml:space="preserve">a </w:t>
      </w:r>
      <w:r w:rsidR="00BF0B5F">
        <w:t>theor</w:t>
      </w:r>
      <w:r w:rsidR="009452F8">
        <w:t>etical possibility</w:t>
      </w:r>
      <w:r w:rsidR="00BF0B5F">
        <w:t>, which is why we suggest the following reformulation.</w:t>
      </w:r>
    </w:p>
    <w:p w:rsidR="00BA24C7" w:rsidRDefault="00BA24C7" w:rsidP="00DF390C">
      <w:pPr>
        <w:ind w:left="1420" w:hanging="1135"/>
      </w:pPr>
      <w:r w:rsidRPr="00BA24C7">
        <w:rPr>
          <w:b/>
        </w:rPr>
        <w:t xml:space="preserve">Proposal </w:t>
      </w:r>
      <w:r w:rsidR="00BF0B5F">
        <w:rPr>
          <w:b/>
        </w:rPr>
        <w:t>2</w:t>
      </w:r>
      <w:r>
        <w:t>:</w:t>
      </w:r>
      <w:r>
        <w:tab/>
      </w:r>
      <w:r w:rsidR="009452F8">
        <w:t xml:space="preserve">Request from SA1 that RAN2 may </w:t>
      </w:r>
      <w:r w:rsidR="001512C6">
        <w:t>consider</w:t>
      </w:r>
      <w:r w:rsidR="00DF390C">
        <w:t xml:space="preserve"> the scalability requirement </w:t>
      </w:r>
      <w:r w:rsidR="001512C6">
        <w:t xml:space="preserve">reformulated </w:t>
      </w:r>
      <w:r w:rsidR="00DF390C">
        <w:t xml:space="preserve">as “Downlink transmission capacity shall not restrict how many </w:t>
      </w:r>
      <w:r w:rsidR="00DF390C" w:rsidRPr="00DF390C">
        <w:t xml:space="preserve">receiver group members can </w:t>
      </w:r>
      <w:r w:rsidR="00DF390C">
        <w:t>rec</w:t>
      </w:r>
      <w:r w:rsidR="00FF0E3F">
        <w:t>eive given group communication</w:t>
      </w:r>
      <w:r w:rsidR="00A471FB">
        <w:t>.</w:t>
      </w:r>
      <w:r w:rsidR="00DF390C">
        <w:t>”</w:t>
      </w:r>
    </w:p>
    <w:p w:rsidR="00A15CE9" w:rsidRPr="00DF390C" w:rsidRDefault="00DB69C8" w:rsidP="00F2745C">
      <w:r>
        <w:t>This reformulated requirement</w:t>
      </w:r>
      <w:r w:rsidR="00DF390C">
        <w:t xml:space="preserve"> is satisified by the legacy PMR systems.</w:t>
      </w:r>
      <w:r w:rsidR="00A15CE9">
        <w:t xml:space="preserve"> </w:t>
      </w:r>
    </w:p>
    <w:p w:rsidR="007B5814" w:rsidRDefault="007B5814" w:rsidP="007B5814">
      <w:pPr>
        <w:pStyle w:val="Heading2"/>
      </w:pPr>
      <w:r>
        <w:t>2</w:t>
      </w:r>
      <w:r w:rsidRPr="00B266B0">
        <w:t>.</w:t>
      </w:r>
      <w:r w:rsidR="0063467E">
        <w:t>2</w:t>
      </w:r>
      <w:r w:rsidRPr="00B266B0">
        <w:tab/>
      </w:r>
      <w:r>
        <w:t>End-to-end delay</w:t>
      </w:r>
    </w:p>
    <w:p w:rsidR="007B5814" w:rsidRDefault="007B5814" w:rsidP="007B5814">
      <w:r>
        <w:t>The stage-1 TS [3] states that “</w:t>
      </w:r>
      <w:r w:rsidRPr="0062453E">
        <w:rPr>
          <w:i/>
        </w:rPr>
        <w:t>The end to end delay for media transport for Group Communications should be less than or equal to 150 ms</w:t>
      </w:r>
      <w:r>
        <w:t>”.</w:t>
      </w:r>
    </w:p>
    <w:p w:rsidR="00CA1F15" w:rsidRDefault="00CA1F15" w:rsidP="007B5814">
      <w:r>
        <w:t xml:space="preserve">For now, the following </w:t>
      </w:r>
      <w:r w:rsidR="00F634E0">
        <w:t xml:space="preserve">table on end-to-end delay using MBMS bearers </w:t>
      </w:r>
      <w:r>
        <w:t>was captured in the RAN2 TR:</w:t>
      </w:r>
    </w:p>
    <w:p w:rsidR="00CA1F15" w:rsidRPr="00CA1F15" w:rsidRDefault="00CA1F15" w:rsidP="00CA1F15">
      <w:pPr>
        <w:pStyle w:val="TH"/>
        <w:rPr>
          <w:i/>
        </w:rPr>
      </w:pPr>
      <w:r w:rsidRPr="00CA1F15">
        <w:rPr>
          <w:i/>
        </w:rPr>
        <w:lastRenderedPageBreak/>
        <w:t>Table 5.2.1.1.2.1 User plane delay estimation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1344"/>
        <w:gridCol w:w="3776"/>
      </w:tblGrid>
      <w:tr w:rsidR="00CA1F15" w:rsidRPr="00CA1F15" w:rsidTr="00600FCA">
        <w:trPr>
          <w:trHeight w:val="387"/>
        </w:trPr>
        <w:tc>
          <w:tcPr>
            <w:tcW w:w="4618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H"/>
              <w:rPr>
                <w:i/>
                <w:lang w:eastAsia="zh-CN"/>
              </w:rPr>
            </w:pPr>
            <w:r w:rsidRPr="00CA1F15">
              <w:rPr>
                <w:i/>
                <w:lang w:eastAsia="zh-CN"/>
              </w:rPr>
              <w:t>Description</w:t>
            </w:r>
          </w:p>
        </w:tc>
        <w:tc>
          <w:tcPr>
            <w:tcW w:w="1344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H"/>
              <w:rPr>
                <w:i/>
                <w:lang w:eastAsia="zh-CN"/>
              </w:rPr>
            </w:pPr>
          </w:p>
          <w:p w:rsidR="00CA1F15" w:rsidRPr="00CA1F15" w:rsidRDefault="00CA1F15" w:rsidP="00600FCA">
            <w:pPr>
              <w:pStyle w:val="TAH"/>
              <w:rPr>
                <w:i/>
                <w:lang w:eastAsia="zh-CN"/>
              </w:rPr>
            </w:pPr>
            <w:r w:rsidRPr="00CA1F15">
              <w:rPr>
                <w:i/>
                <w:lang w:eastAsia="zh-CN"/>
              </w:rPr>
              <w:t xml:space="preserve">Time (ms) </w:t>
            </w:r>
          </w:p>
          <w:p w:rsidR="00CA1F15" w:rsidRPr="00CA1F15" w:rsidRDefault="00CA1F15" w:rsidP="00600FCA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3776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H"/>
              <w:rPr>
                <w:i/>
                <w:lang w:eastAsia="zh-CN"/>
              </w:rPr>
            </w:pPr>
            <w:r w:rsidRPr="00CA1F15">
              <w:rPr>
                <w:i/>
                <w:lang w:eastAsia="zh-CN"/>
              </w:rPr>
              <w:t>Comments</w:t>
            </w:r>
          </w:p>
        </w:tc>
      </w:tr>
      <w:tr w:rsidR="00CA1F15" w:rsidRPr="00CA1F15" w:rsidTr="00600FCA">
        <w:trPr>
          <w:trHeight w:val="387"/>
        </w:trPr>
        <w:tc>
          <w:tcPr>
            <w:tcW w:w="4618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 xml:space="preserve">Talker UE </w:t>
            </w:r>
            <w:r w:rsidRPr="00CA1F15">
              <w:rPr>
                <w:i/>
              </w:rPr>
              <w:sym w:font="Wingdings" w:char="F0E0"/>
            </w:r>
            <w:r w:rsidRPr="00CA1F15">
              <w:rPr>
                <w:i/>
              </w:rPr>
              <w:t xml:space="preserve"> eNB</w:t>
            </w:r>
          </w:p>
        </w:tc>
        <w:tc>
          <w:tcPr>
            <w:tcW w:w="1344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Reference: Annex B.2 of 3GPP TR 36.912[6]</w:t>
            </w:r>
          </w:p>
        </w:tc>
      </w:tr>
      <w:tr w:rsidR="00CA1F15" w:rsidRPr="00CA1F15" w:rsidTr="00600FCA">
        <w:trPr>
          <w:trHeight w:val="193"/>
        </w:trPr>
        <w:tc>
          <w:tcPr>
            <w:tcW w:w="4618" w:type="dxa"/>
            <w:shd w:val="clear" w:color="auto" w:fill="auto"/>
            <w:hideMark/>
          </w:tcPr>
          <w:p w:rsidR="00CA1F15" w:rsidRPr="001008F4" w:rsidRDefault="00CA1F15" w:rsidP="00600FCA">
            <w:pPr>
              <w:pStyle w:val="TAL"/>
              <w:rPr>
                <w:i/>
                <w:highlight w:val="yellow"/>
              </w:rPr>
            </w:pPr>
            <w:r w:rsidRPr="001008F4">
              <w:rPr>
                <w:i/>
                <w:highlight w:val="yellow"/>
              </w:rPr>
              <w:t>eNB</w:t>
            </w:r>
            <w:r w:rsidRPr="001008F4">
              <w:rPr>
                <w:i/>
                <w:highlight w:val="yellow"/>
              </w:rPr>
              <w:sym w:font="Wingdings" w:char="F0E0"/>
            </w:r>
            <w:r w:rsidRPr="001008F4">
              <w:rPr>
                <w:i/>
                <w:highlight w:val="yellow"/>
              </w:rPr>
              <w:t>SGW/PGW</w:t>
            </w:r>
            <w:r w:rsidRPr="001008F4">
              <w:rPr>
                <w:i/>
                <w:highlight w:val="yellow"/>
              </w:rPr>
              <w:sym w:font="Wingdings" w:char="F0E0"/>
            </w:r>
            <w:r w:rsidRPr="001008F4">
              <w:rPr>
                <w:i/>
                <w:highlight w:val="yellow"/>
              </w:rPr>
              <w:t>GCSE AS</w:t>
            </w:r>
            <w:r w:rsidRPr="001008F4">
              <w:rPr>
                <w:i/>
                <w:highlight w:val="yellow"/>
              </w:rPr>
              <w:sym w:font="Wingdings" w:char="F0E0"/>
            </w:r>
            <w:r w:rsidRPr="001008F4">
              <w:rPr>
                <w:i/>
                <w:highlight w:val="yellow"/>
              </w:rPr>
              <w:t>BM-SC</w:t>
            </w:r>
          </w:p>
        </w:tc>
        <w:tc>
          <w:tcPr>
            <w:tcW w:w="1344" w:type="dxa"/>
            <w:shd w:val="clear" w:color="auto" w:fill="auto"/>
            <w:hideMark/>
          </w:tcPr>
          <w:p w:rsidR="00CA1F15" w:rsidRPr="001008F4" w:rsidRDefault="00CA1F15" w:rsidP="00600FCA">
            <w:pPr>
              <w:pStyle w:val="TAL"/>
              <w:rPr>
                <w:i/>
                <w:highlight w:val="yellow"/>
              </w:rPr>
            </w:pPr>
            <w:r w:rsidRPr="001008F4">
              <w:rPr>
                <w:i/>
                <w:highlight w:val="yellow"/>
              </w:rPr>
              <w:t>20</w:t>
            </w:r>
          </w:p>
        </w:tc>
        <w:tc>
          <w:tcPr>
            <w:tcW w:w="3776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Backhaul transmission</w:t>
            </w:r>
          </w:p>
        </w:tc>
      </w:tr>
      <w:tr w:rsidR="00CA1F15" w:rsidRPr="00CA1F15" w:rsidTr="00600FCA">
        <w:trPr>
          <w:trHeight w:val="193"/>
        </w:trPr>
        <w:tc>
          <w:tcPr>
            <w:tcW w:w="4618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 xml:space="preserve">BM-SC </w:t>
            </w:r>
            <w:r w:rsidRPr="00CA1F15">
              <w:rPr>
                <w:i/>
              </w:rPr>
              <w:sym w:font="Wingdings" w:char="F0E0"/>
            </w:r>
            <w:r w:rsidRPr="00CA1F15">
              <w:rPr>
                <w:i/>
              </w:rPr>
              <w:t xml:space="preserve"> eNB</w:t>
            </w:r>
          </w:p>
        </w:tc>
        <w:tc>
          <w:tcPr>
            <w:tcW w:w="1344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40</w:t>
            </w:r>
          </w:p>
        </w:tc>
        <w:tc>
          <w:tcPr>
            <w:tcW w:w="3776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Assumes SYNC sequence length = 40ms = MSP/2. The eNB processing time and M1 delay are captured into the 40ms.</w:t>
            </w:r>
          </w:p>
        </w:tc>
      </w:tr>
      <w:tr w:rsidR="00CA1F15" w:rsidRPr="00CA1F15" w:rsidTr="00600FCA">
        <w:trPr>
          <w:trHeight w:val="193"/>
        </w:trPr>
        <w:tc>
          <w:tcPr>
            <w:tcW w:w="4618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MSP (Read MSI)</w:t>
            </w:r>
          </w:p>
        </w:tc>
        <w:tc>
          <w:tcPr>
            <w:tcW w:w="1344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80</w:t>
            </w:r>
          </w:p>
        </w:tc>
        <w:tc>
          <w:tcPr>
            <w:tcW w:w="3776" w:type="dxa"/>
            <w:shd w:val="clear" w:color="auto" w:fill="auto"/>
            <w:hideMark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MSP = 80ms</w:t>
            </w:r>
          </w:p>
        </w:tc>
      </w:tr>
      <w:tr w:rsidR="00CA1F15" w:rsidRPr="00CA1F15" w:rsidTr="00600FCA">
        <w:trPr>
          <w:trHeight w:val="193"/>
        </w:trPr>
        <w:tc>
          <w:tcPr>
            <w:tcW w:w="4618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 xml:space="preserve">eNB </w:t>
            </w:r>
            <w:r w:rsidRPr="00CA1F15">
              <w:rPr>
                <w:i/>
              </w:rPr>
              <w:sym w:font="Wingdings" w:char="F0E0"/>
            </w:r>
            <w:r w:rsidRPr="00CA1F15">
              <w:rPr>
                <w:i/>
              </w:rPr>
              <w:t xml:space="preserve"> Receiving UEs</w:t>
            </w:r>
          </w:p>
        </w:tc>
        <w:tc>
          <w:tcPr>
            <w:tcW w:w="1344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Receiving and processing</w:t>
            </w:r>
          </w:p>
        </w:tc>
      </w:tr>
      <w:tr w:rsidR="00CA1F15" w:rsidRPr="00CA1F15" w:rsidTr="00600FCA">
        <w:trPr>
          <w:trHeight w:val="193"/>
        </w:trPr>
        <w:tc>
          <w:tcPr>
            <w:tcW w:w="4618" w:type="dxa"/>
            <w:shd w:val="clear" w:color="auto" w:fill="auto"/>
          </w:tcPr>
          <w:p w:rsidR="00CA1F15" w:rsidRPr="00CA1F15" w:rsidRDefault="00CA1F15" w:rsidP="00600FCA">
            <w:pPr>
              <w:pStyle w:val="TAL"/>
              <w:rPr>
                <w:i/>
              </w:rPr>
            </w:pPr>
            <w:r w:rsidRPr="00CA1F15">
              <w:rPr>
                <w:i/>
              </w:rPr>
              <w:t>Total</w:t>
            </w:r>
          </w:p>
        </w:tc>
        <w:tc>
          <w:tcPr>
            <w:tcW w:w="1344" w:type="dxa"/>
            <w:shd w:val="clear" w:color="auto" w:fill="auto"/>
          </w:tcPr>
          <w:p w:rsidR="00CA1F15" w:rsidRPr="001008F4" w:rsidRDefault="00CA1F15" w:rsidP="00600FCA">
            <w:pPr>
              <w:pStyle w:val="TAL"/>
              <w:rPr>
                <w:i/>
                <w:highlight w:val="yellow"/>
              </w:rPr>
            </w:pPr>
            <w:r w:rsidRPr="001008F4">
              <w:rPr>
                <w:i/>
                <w:highlight w:val="yellow"/>
              </w:rPr>
              <w:t>160</w:t>
            </w:r>
          </w:p>
        </w:tc>
        <w:tc>
          <w:tcPr>
            <w:tcW w:w="3776" w:type="dxa"/>
            <w:shd w:val="clear" w:color="auto" w:fill="auto"/>
          </w:tcPr>
          <w:p w:rsidR="00CA1F15" w:rsidRPr="001008F4" w:rsidRDefault="00CA1F15" w:rsidP="00600FCA">
            <w:pPr>
              <w:pStyle w:val="TAL"/>
              <w:rPr>
                <w:i/>
                <w:highlight w:val="yellow"/>
              </w:rPr>
            </w:pPr>
            <w:r w:rsidRPr="001008F4">
              <w:rPr>
                <w:i/>
                <w:highlight w:val="yellow"/>
              </w:rPr>
              <w:t>Meets the SA1 user plane delay requirement</w:t>
            </w:r>
          </w:p>
        </w:tc>
      </w:tr>
    </w:tbl>
    <w:p w:rsidR="00A00FA5" w:rsidRDefault="00A00FA5" w:rsidP="007B5814"/>
    <w:p w:rsidR="00CA1F15" w:rsidRDefault="00583D17" w:rsidP="007B5814">
      <w:r>
        <w:t>As we highlight above, t</w:t>
      </w:r>
      <w:r w:rsidR="00C01DCD">
        <w:t xml:space="preserve">he delay component </w:t>
      </w:r>
      <w:r w:rsidR="00C01DCD" w:rsidRPr="00C01DCD">
        <w:t>eNB</w:t>
      </w:r>
      <w:r w:rsidR="00C01DCD" w:rsidRPr="00C01DCD">
        <w:sym w:font="Wingdings" w:char="F0E0"/>
      </w:r>
      <w:r w:rsidR="00C01DCD" w:rsidRPr="00C01DCD">
        <w:t>SGW/PGW</w:t>
      </w:r>
      <w:r w:rsidR="00C01DCD" w:rsidRPr="00C01DCD">
        <w:sym w:font="Wingdings" w:char="F0E0"/>
      </w:r>
      <w:r w:rsidR="00C01DCD" w:rsidRPr="00C01DCD">
        <w:t>GCSE AS</w:t>
      </w:r>
      <w:r w:rsidR="00C01DCD" w:rsidRPr="00C01DCD">
        <w:sym w:font="Wingdings" w:char="F0E0"/>
      </w:r>
      <w:r w:rsidR="00C01DCD" w:rsidRPr="00C01DCD">
        <w:t>BM-SC</w:t>
      </w:r>
      <w:r w:rsidR="00C01DCD">
        <w:t xml:space="preserve"> is currently evaluated as 20ms. </w:t>
      </w:r>
      <w:r w:rsidR="008777CE">
        <w:t xml:space="preserve">A related guideline is provided in TS 23.203 [6] regarding </w:t>
      </w:r>
      <w:r>
        <w:t>the Packet Delay Budget:</w:t>
      </w:r>
    </w:p>
    <w:p w:rsidR="00583D17" w:rsidRPr="00583D17" w:rsidRDefault="00583D17" w:rsidP="00583D17">
      <w:pPr>
        <w:ind w:left="1136" w:hanging="852"/>
        <w:rPr>
          <w:i/>
        </w:rPr>
      </w:pPr>
      <w:r w:rsidRPr="00583D17">
        <w:rPr>
          <w:i/>
        </w:rPr>
        <w:t>NOTE 1:</w:t>
      </w:r>
      <w:r w:rsidRPr="00583D17">
        <w:rPr>
          <w:i/>
        </w:rPr>
        <w:tab/>
        <w:t>A delay of 20 ms for the delay between a PCEF and a radio base station should be subtracted from a given PDB to derive the packet delay budget that applies to the radio interface.</w:t>
      </w:r>
    </w:p>
    <w:p w:rsidR="00583D17" w:rsidRDefault="00583D17" w:rsidP="00583D17">
      <w:r>
        <w:t>The PCEF (Policy and Charging Enforcement Function) is located at the Gateway.</w:t>
      </w:r>
    </w:p>
    <w:p w:rsidR="00311B73" w:rsidRDefault="00311B73" w:rsidP="007B5814">
      <w:r>
        <w:tab/>
      </w:r>
      <w:r w:rsidRPr="00311B73">
        <w:rPr>
          <w:b/>
        </w:rPr>
        <w:t xml:space="preserve">Proposal </w:t>
      </w:r>
      <w:r w:rsidR="00610DC6">
        <w:rPr>
          <w:b/>
        </w:rPr>
        <w:t>3</w:t>
      </w:r>
      <w:r>
        <w:t>:</w:t>
      </w:r>
      <w:r w:rsidR="002B165D">
        <w:tab/>
      </w:r>
      <w:r w:rsidR="00583D17">
        <w:t xml:space="preserve">Assume 20ms as the </w:t>
      </w:r>
      <w:r w:rsidR="009A0DE3">
        <w:t xml:space="preserve">one-way </w:t>
      </w:r>
      <w:r w:rsidR="00583D17">
        <w:t>delay between eNB and SGW/PGW alone</w:t>
      </w:r>
      <w:r>
        <w:t>.</w:t>
      </w:r>
    </w:p>
    <w:p w:rsidR="00583D17" w:rsidRDefault="00583D17" w:rsidP="007B5814">
      <w:r>
        <w:t xml:space="preserve">As also highlighted above, the total estimated delay (which, by the </w:t>
      </w:r>
      <w:r w:rsidR="005C6936">
        <w:t>previous point</w:t>
      </w:r>
      <w:r>
        <w:t xml:space="preserve">, currently seems underestimated) is </w:t>
      </w:r>
      <w:r w:rsidR="00A00FA5">
        <w:t>concluded to meet</w:t>
      </w:r>
      <w:r>
        <w:t xml:space="preserve"> the SA1 requirement, which seems to be in error since the requirement is 150ms.</w:t>
      </w:r>
    </w:p>
    <w:p w:rsidR="00583D17" w:rsidRDefault="00583D17" w:rsidP="005178DF">
      <w:pPr>
        <w:ind w:left="1420" w:hanging="1135"/>
      </w:pPr>
      <w:r w:rsidRPr="005178DF">
        <w:rPr>
          <w:b/>
        </w:rPr>
        <w:t xml:space="preserve">Proposal </w:t>
      </w:r>
      <w:r w:rsidR="00610DC6">
        <w:rPr>
          <w:b/>
        </w:rPr>
        <w:t>4</w:t>
      </w:r>
      <w:r>
        <w:t>:</w:t>
      </w:r>
      <w:r>
        <w:tab/>
      </w:r>
      <w:r w:rsidR="005178DF">
        <w:t xml:space="preserve">Remove the erroneous comment in the table on UP delay with </w:t>
      </w:r>
      <w:proofErr w:type="gramStart"/>
      <w:r w:rsidR="005178DF">
        <w:t>MBMS, that</w:t>
      </w:r>
      <w:proofErr w:type="gramEnd"/>
      <w:r w:rsidR="005178DF">
        <w:t xml:space="preserve"> </w:t>
      </w:r>
      <w:r w:rsidR="00DB0639">
        <w:t xml:space="preserve">says </w:t>
      </w:r>
      <w:r w:rsidR="005178DF">
        <w:t>the SA1 requirement is met.</w:t>
      </w:r>
    </w:p>
    <w:p w:rsidR="00C723E4" w:rsidRDefault="00C723E4" w:rsidP="00C723E4">
      <w:pPr>
        <w:pStyle w:val="Heading2"/>
      </w:pPr>
      <w:r>
        <w:t>2</w:t>
      </w:r>
      <w:r w:rsidRPr="00B266B0">
        <w:t>.</w:t>
      </w:r>
      <w:r w:rsidR="00E807C5">
        <w:t>3</w:t>
      </w:r>
      <w:r w:rsidRPr="00B266B0">
        <w:tab/>
      </w:r>
      <w:r w:rsidR="00D5798B" w:rsidRPr="00D5798B">
        <w:tab/>
        <w:t>Time to join an ongoing group</w:t>
      </w:r>
      <w:r w:rsidR="00D5798B">
        <w:t xml:space="preserve"> call</w:t>
      </w:r>
    </w:p>
    <w:p w:rsidR="00C5620D" w:rsidRDefault="00947E44" w:rsidP="00057EF7">
      <w:r>
        <w:t xml:space="preserve">It is </w:t>
      </w:r>
      <w:r w:rsidR="00A179E3">
        <w:t>not yet analyzed</w:t>
      </w:r>
      <w:r>
        <w:t xml:space="preserve"> in the RAN2 TR whether this </w:t>
      </w:r>
      <w:r w:rsidR="00A179E3">
        <w:t>can be done within the required 300ms with MBMS bearer</w:t>
      </w:r>
      <w:r>
        <w:t>.</w:t>
      </w:r>
    </w:p>
    <w:p w:rsidR="00947E44" w:rsidRDefault="0062019A" w:rsidP="00057EF7">
      <w:r>
        <w:t xml:space="preserve">The shortest configurable MCCH repetition period is currently 320ms, which means that with the UE starting from scratch </w:t>
      </w:r>
      <w:r w:rsidR="00090D06">
        <w:t>and the total time including</w:t>
      </w:r>
      <w:r>
        <w:t xml:space="preserve"> MCCH acquisition</w:t>
      </w:r>
      <w:r w:rsidR="00AB143E">
        <w:t>, the requirement cannot be met.</w:t>
      </w:r>
    </w:p>
    <w:p w:rsidR="00AB143E" w:rsidRDefault="00A179E3" w:rsidP="00057EF7">
      <w:r>
        <w:t xml:space="preserve">Assuming that the UE has kept </w:t>
      </w:r>
      <w:r w:rsidR="00F94011">
        <w:t xml:space="preserve">itself </w:t>
      </w:r>
      <w:r>
        <w:t>informed of MCCH contents and, like in the already captured analysis of unicast bearers, that the UE has already registered with the GCSE_AS (meaning that the UE knows if an MBMS bearer delivering the service is available), starting reception only entails receiving the MSI, which can take as little as 80ms</w:t>
      </w:r>
      <w:r w:rsidR="00F476BB">
        <w:t xml:space="preserve"> </w:t>
      </w:r>
      <w:r w:rsidR="00F167B7">
        <w:t>which is the shortest MSI that can currently be configured</w:t>
      </w:r>
      <w:r>
        <w:t>.</w:t>
      </w:r>
    </w:p>
    <w:p w:rsidR="00A179E3" w:rsidRDefault="00A179E3" w:rsidP="00A179E3">
      <w:pPr>
        <w:ind w:left="1420" w:hanging="1135"/>
      </w:pPr>
      <w:r w:rsidRPr="005178DF">
        <w:rPr>
          <w:b/>
        </w:rPr>
        <w:t xml:space="preserve">Proposal </w:t>
      </w:r>
      <w:r w:rsidR="00610DC6">
        <w:rPr>
          <w:b/>
        </w:rPr>
        <w:t>5</w:t>
      </w:r>
      <w:r>
        <w:t>:</w:t>
      </w:r>
      <w:r>
        <w:tab/>
        <w:t>Provided that the UE has kept informed of MCCH contents</w:t>
      </w:r>
      <w:r w:rsidR="0060702D">
        <w:t xml:space="preserve"> and has already registered with the GCSE_AS, the time-to-join delay requirement can be met with MBMS bearer</w:t>
      </w:r>
      <w:r>
        <w:t>.</w:t>
      </w:r>
    </w:p>
    <w:p w:rsidR="00FF3D04" w:rsidRPr="00B266B0" w:rsidRDefault="0084702C" w:rsidP="00FF3D04">
      <w:pPr>
        <w:pStyle w:val="Heading2"/>
      </w:pPr>
      <w:r>
        <w:lastRenderedPageBreak/>
        <w:t>2.</w:t>
      </w:r>
      <w:r w:rsidR="009B4DD2">
        <w:t>4</w:t>
      </w:r>
      <w:r w:rsidR="00FF3D04" w:rsidRPr="00B266B0">
        <w:tab/>
      </w:r>
      <w:r w:rsidR="00FF3D04">
        <w:t>Service continuity</w:t>
      </w:r>
    </w:p>
    <w:p w:rsidR="00FF3D04" w:rsidRDefault="00A82853" w:rsidP="00FF3D04">
      <w:r>
        <w:t>Let us c</w:t>
      </w:r>
      <w:r w:rsidR="00736F4A">
        <w:t>onsider UE mobility out of an MBSFN area while a call is in progress</w:t>
      </w:r>
      <w:r w:rsidR="00126D51">
        <w:t>.</w:t>
      </w:r>
      <w:r>
        <w:t xml:space="preserve"> </w:t>
      </w:r>
      <w:r w:rsidR="005A0FDB">
        <w:t>In previous RAN2 work on MBMS, w</w:t>
      </w:r>
      <w:r w:rsidR="00FF6DB7">
        <w:t xml:space="preserve">hile such mobility case </w:t>
      </w:r>
      <w:r w:rsidR="00850851">
        <w:t>has not been the foc</w:t>
      </w:r>
      <w:r w:rsidR="00097C84">
        <w:t>al point</w:t>
      </w:r>
      <w:r w:rsidR="00FF6DB7">
        <w:t xml:space="preserve">, it </w:t>
      </w:r>
      <w:r w:rsidR="003A38BE">
        <w:t xml:space="preserve">has been </w:t>
      </w:r>
      <w:proofErr w:type="gramStart"/>
      <w:r w:rsidR="005A0FDB">
        <w:t>assumed</w:t>
      </w:r>
      <w:r w:rsidR="003A38BE">
        <w:t xml:space="preserve"> </w:t>
      </w:r>
      <w:r w:rsidR="00AB1C55">
        <w:t xml:space="preserve"> </w:t>
      </w:r>
      <w:r w:rsidR="00FF6DB7">
        <w:t>that</w:t>
      </w:r>
      <w:proofErr w:type="gramEnd"/>
      <w:r w:rsidR="00FF6DB7">
        <w:t xml:space="preserve"> once the UE determines that it is running out of an MBSFN area, it can request the MBMS service by unicast. However, no triggers for the UE to do so </w:t>
      </w:r>
      <w:r w:rsidR="00510826">
        <w:t>have been</w:t>
      </w:r>
      <w:r w:rsidR="00FF6DB7">
        <w:t xml:space="preserve"> specified, leaving it all a matter of UE implementation</w:t>
      </w:r>
      <w:r w:rsidR="00126D51">
        <w:t>.</w:t>
      </w:r>
      <w:r w:rsidR="007D3352">
        <w:t xml:space="preserve"> A too loose trigger</w:t>
      </w:r>
      <w:r w:rsidR="00DF0DAA">
        <w:t xml:space="preserve"> – such as the loss of a single MBMS packet -</w:t>
      </w:r>
      <w:r w:rsidR="007D3352">
        <w:t xml:space="preserve"> </w:t>
      </w:r>
      <w:r w:rsidR="00DF0DAA">
        <w:t>can</w:t>
      </w:r>
      <w:r w:rsidR="007D3352">
        <w:t xml:space="preserve"> result in </w:t>
      </w:r>
      <w:r w:rsidR="00A36E0F">
        <w:t xml:space="preserve">unicast </w:t>
      </w:r>
      <w:r w:rsidR="007D3352">
        <w:t>capacity problems</w:t>
      </w:r>
      <w:r w:rsidR="00A36E0F">
        <w:t xml:space="preserve"> </w:t>
      </w:r>
      <w:r w:rsidR="002070F1">
        <w:t>if UEs request unicast delivery even when not really necessary</w:t>
      </w:r>
      <w:r w:rsidR="007D3352">
        <w:t xml:space="preserve">, </w:t>
      </w:r>
      <w:r w:rsidR="00DF0DAA">
        <w:t>whereas a too strict trigger may not ensure service continuity.</w:t>
      </w:r>
      <w:r w:rsidR="00BA6F66">
        <w:t xml:space="preserve"> Given the priority of service continuity among the Rel-12 GCSE work, it seems preferable to have a normative trigger</w:t>
      </w:r>
      <w:r w:rsidR="00691F7D">
        <w:t xml:space="preserve"> for UE to determine when to request the MBMS service by unicast</w:t>
      </w:r>
      <w:r w:rsidR="00BA6F66">
        <w:t>.</w:t>
      </w:r>
    </w:p>
    <w:p w:rsidR="00126D51" w:rsidRDefault="00126D51" w:rsidP="00496B3C">
      <w:pPr>
        <w:ind w:left="1420" w:hanging="1135"/>
      </w:pPr>
      <w:r w:rsidRPr="009B3D89">
        <w:rPr>
          <w:b/>
        </w:rPr>
        <w:t>Pr</w:t>
      </w:r>
      <w:r w:rsidR="009B3D89" w:rsidRPr="009B3D89">
        <w:rPr>
          <w:b/>
        </w:rPr>
        <w:t xml:space="preserve">oposal </w:t>
      </w:r>
      <w:r w:rsidR="00610DC6">
        <w:rPr>
          <w:b/>
        </w:rPr>
        <w:t>6</w:t>
      </w:r>
      <w:r w:rsidR="009B3D89">
        <w:t>:</w:t>
      </w:r>
      <w:r w:rsidR="009B3D89">
        <w:tab/>
      </w:r>
      <w:r w:rsidR="00BA6F66">
        <w:t xml:space="preserve">Agree that a </w:t>
      </w:r>
      <w:r w:rsidR="003A6B47">
        <w:t>standardized</w:t>
      </w:r>
      <w:r w:rsidR="00691F7D">
        <w:t xml:space="preserve"> </w:t>
      </w:r>
      <w:r w:rsidR="00BA6F66">
        <w:t xml:space="preserve">trigger for the UE to request unicast delivery when moving out of MBSFN area </w:t>
      </w:r>
      <w:r w:rsidR="00602A95">
        <w:t>is needed</w:t>
      </w:r>
      <w:r w:rsidR="00496B3C">
        <w:t>.</w:t>
      </w:r>
    </w:p>
    <w:p w:rsidR="00BA6F66" w:rsidRDefault="00BA6F66" w:rsidP="00BA6F66">
      <w:r>
        <w:t>Regarding what would serve as such a proper trigger, there currently seems little available related to MBSFN reception other than packet loss.</w:t>
      </w:r>
      <w:r w:rsidR="006E33A5">
        <w:t xml:space="preserve"> Meanwhile, RAN1 is currently working on MBSFN measurements</w:t>
      </w:r>
      <w:r w:rsidR="00691F7D">
        <w:t xml:space="preserve"> [</w:t>
      </w:r>
      <w:r w:rsidR="00A15CE9">
        <w:t>7</w:t>
      </w:r>
      <w:proofErr w:type="gramStart"/>
      <w:r w:rsidR="00544EDF">
        <w:t>,8</w:t>
      </w:r>
      <w:proofErr w:type="gramEnd"/>
      <w:r w:rsidR="00691F7D">
        <w:t>]</w:t>
      </w:r>
      <w:r w:rsidR="006E33A5">
        <w:t xml:space="preserve">, and even though their current work is primarily motivated by MDT, such measurements seem </w:t>
      </w:r>
      <w:r w:rsidR="00602A95">
        <w:t>usable</w:t>
      </w:r>
      <w:r w:rsidR="006E33A5">
        <w:t xml:space="preserve"> also as a mobility trigger.</w:t>
      </w:r>
    </w:p>
    <w:p w:rsidR="006E33A5" w:rsidRDefault="006E33A5" w:rsidP="006E33A5">
      <w:pPr>
        <w:ind w:left="1420" w:hanging="1135"/>
      </w:pPr>
      <w:r w:rsidRPr="009B3D89">
        <w:rPr>
          <w:b/>
        </w:rPr>
        <w:t xml:space="preserve">Proposal </w:t>
      </w:r>
      <w:r w:rsidR="00610DC6">
        <w:rPr>
          <w:b/>
        </w:rPr>
        <w:t>7</w:t>
      </w:r>
      <w:r>
        <w:t>:</w:t>
      </w:r>
      <w:r>
        <w:tab/>
      </w:r>
      <w:r w:rsidR="000C53E9">
        <w:t xml:space="preserve">Consider a measurement event based on the MBSFN measurements currently </w:t>
      </w:r>
      <w:r w:rsidR="00A15CE9">
        <w:t xml:space="preserve">being </w:t>
      </w:r>
      <w:r w:rsidR="000C53E9">
        <w:t xml:space="preserve">defined in </w:t>
      </w:r>
      <w:proofErr w:type="gramStart"/>
      <w:r w:rsidR="000C53E9">
        <w:t>RAN1</w:t>
      </w:r>
      <w:r w:rsidR="00691F7D">
        <w:t xml:space="preserve"> </w:t>
      </w:r>
      <w:r w:rsidR="000C53E9">
        <w:t xml:space="preserve"> as</w:t>
      </w:r>
      <w:proofErr w:type="gramEnd"/>
      <w:r w:rsidR="000C53E9">
        <w:t xml:space="preserve"> a potential trigger for the UE to infer it is moving out of MBSFN area</w:t>
      </w:r>
      <w:r>
        <w:t>.</w:t>
      </w:r>
      <w:r w:rsidR="00691F7D">
        <w:t xml:space="preserve"> </w:t>
      </w:r>
    </w:p>
    <w:p w:rsidR="00C723E4" w:rsidRPr="00B266B0" w:rsidRDefault="00C723E4" w:rsidP="00C723E4">
      <w:pPr>
        <w:pStyle w:val="Heading2"/>
      </w:pPr>
      <w:r>
        <w:t>2</w:t>
      </w:r>
      <w:r w:rsidRPr="00B266B0">
        <w:t>.</w:t>
      </w:r>
      <w:r>
        <w:t>5</w:t>
      </w:r>
      <w:r w:rsidRPr="00B266B0">
        <w:tab/>
      </w:r>
      <w:r>
        <w:t>C</w:t>
      </w:r>
      <w:r w:rsidRPr="00070F49">
        <w:t>all-setup time</w:t>
      </w:r>
      <w:r>
        <w:t xml:space="preserve"> and </w:t>
      </w:r>
      <w:r w:rsidRPr="00070F49">
        <w:t>scalability</w:t>
      </w:r>
      <w:r>
        <w:t xml:space="preserve"> with MBSFN areas</w:t>
      </w:r>
    </w:p>
    <w:p w:rsidR="00C723E4" w:rsidRDefault="00C723E4" w:rsidP="00C723E4">
      <w:r>
        <w:t xml:space="preserve">To be able to satisfy the call-setup time, the analysis captured in the RAN2 TR assumes pre-established </w:t>
      </w:r>
      <w:proofErr w:type="gramStart"/>
      <w:r>
        <w:t>MBMS bearers.</w:t>
      </w:r>
      <w:proofErr w:type="gramEnd"/>
      <w:r>
        <w:t xml:space="preserve"> </w:t>
      </w:r>
    </w:p>
    <w:p w:rsidR="00C723E4" w:rsidRDefault="00C723E4" w:rsidP="00C723E4">
      <w:r>
        <w:t>In satisfying the call-setup requirement, it seems necessary to account for the following:</w:t>
      </w:r>
    </w:p>
    <w:p w:rsidR="00C723E4" w:rsidRDefault="00C723E4" w:rsidP="00C723E4">
      <w:pPr>
        <w:pStyle w:val="B1"/>
      </w:pPr>
      <w:r w:rsidRPr="00B266B0">
        <w:t>-</w:t>
      </w:r>
      <w:r w:rsidRPr="00B266B0">
        <w:tab/>
      </w:r>
      <w:proofErr w:type="gramStart"/>
      <w:r>
        <w:t>the</w:t>
      </w:r>
      <w:proofErr w:type="gramEnd"/>
      <w:r>
        <w:t xml:space="preserve"> total number of call groups configured in the PLMN can be very high;</w:t>
      </w:r>
    </w:p>
    <w:p w:rsidR="00C723E4" w:rsidRDefault="00C723E4" w:rsidP="00C723E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cannot be predicted when a call for a given group needs to be established;</w:t>
      </w:r>
    </w:p>
    <w:p w:rsidR="00C723E4" w:rsidRDefault="00C723E4" w:rsidP="00C723E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even seems difficult to predict where exactly within the PLMN a given group call needs to be established: by the stage-1 requirements, “</w:t>
      </w:r>
      <w:r w:rsidRPr="005248E8">
        <w:t>GCSE Groups shall by definition be of system wide scope</w:t>
      </w:r>
      <w:r>
        <w:t>”.</w:t>
      </w:r>
    </w:p>
    <w:p w:rsidR="00C723E4" w:rsidRDefault="00C723E4" w:rsidP="00C723E4">
      <w:pPr>
        <w:pStyle w:val="B1"/>
        <w:ind w:left="0" w:firstLine="0"/>
      </w:pPr>
      <w:r>
        <w:t>This should be set against how MBMS bearers and MBMS services a</w:t>
      </w:r>
      <w:r w:rsidR="00EB136E">
        <w:t>re</w:t>
      </w:r>
      <w:r>
        <w:t xml:space="preserve"> currently treated in E-UTRAN:</w:t>
      </w:r>
    </w:p>
    <w:p w:rsidR="00C723E4" w:rsidRDefault="00C723E4" w:rsidP="00C723E4">
      <w:pPr>
        <w:pStyle w:val="B1"/>
      </w:pPr>
      <w:r>
        <w:t>-</w:t>
      </w:r>
      <w:r>
        <w:tab/>
        <w:t>MBSFN areas are semi-statically configured by the MCE</w:t>
      </w:r>
      <w:r w:rsidR="005530F8">
        <w:t>;</w:t>
      </w:r>
    </w:p>
    <w:p w:rsidR="00C723E4" w:rsidRDefault="00C723E4" w:rsidP="00C723E4">
      <w:pPr>
        <w:pStyle w:val="B1"/>
      </w:pPr>
      <w:r>
        <w:t>-</w:t>
      </w:r>
      <w:r>
        <w:tab/>
        <w:t>currently only GBR MBMS bearers are supported: at MBMS session start the MCE practices admission control and allocates radio resources for the MBMS bearer based on the GBR received as part of the MBMS session start</w:t>
      </w:r>
      <w:r w:rsidR="005530F8">
        <w:t>;</w:t>
      </w:r>
    </w:p>
    <w:p w:rsidR="00C723E4" w:rsidRDefault="00C723E4" w:rsidP="00C723E4">
      <w:pPr>
        <w:pStyle w:val="B1"/>
      </w:pPr>
      <w:r w:rsidRPr="00B266B0">
        <w:t>-</w:t>
      </w:r>
      <w:r w:rsidRPr="00B266B0">
        <w:tab/>
      </w:r>
      <w:proofErr w:type="gramStart"/>
      <w:r>
        <w:t>the</w:t>
      </w:r>
      <w:proofErr w:type="gramEnd"/>
      <w:r>
        <w:t xml:space="preserve"> MCCH indicates one TMGI per MBMS bearer, i.e. an MBMS-bearer is service-specific</w:t>
      </w:r>
      <w:r w:rsidR="005530F8">
        <w:t>.</w:t>
      </w:r>
      <w:r w:rsidR="00EB136E">
        <w:t xml:space="preserve"> </w:t>
      </w:r>
    </w:p>
    <w:p w:rsidR="00C723E4" w:rsidRDefault="00C723E4" w:rsidP="00C723E4">
      <w:pPr>
        <w:pStyle w:val="B1"/>
        <w:ind w:left="0" w:firstLine="0"/>
      </w:pPr>
      <w:r>
        <w:t xml:space="preserve">All this points toward a scalability problem with pre-established MBMS bearers: should there be an MBMS bearer </w:t>
      </w:r>
      <w:r w:rsidR="0062019A">
        <w:t xml:space="preserve">with the service-specific GBR </w:t>
      </w:r>
      <w:r>
        <w:t>pre-established for every call group configured in the PLMN, throughout the PLMN?</w:t>
      </w:r>
    </w:p>
    <w:p w:rsidR="00C723E4" w:rsidRDefault="00C723E4" w:rsidP="00C723E4">
      <w:pPr>
        <w:pStyle w:val="B1"/>
        <w:ind w:left="0" w:firstLine="0"/>
      </w:pPr>
      <w:r>
        <w:lastRenderedPageBreak/>
        <w:t xml:space="preserve">What seems possible to relax in the current constraints is that an MBMS bearer is service specific. Indeed, the SA2 TR already speaks of a possibility to multiplex </w:t>
      </w:r>
      <w:r w:rsidR="000B6FEE">
        <w:t>several</w:t>
      </w:r>
      <w:r>
        <w:t xml:space="preserve"> group calls on the same MBMS bearer, such that from the data received under given TMGI the UE identifies the service in question by e.g. UDP port.</w:t>
      </w:r>
    </w:p>
    <w:p w:rsidR="00C723E4" w:rsidRDefault="00C723E4" w:rsidP="00C723E4">
      <w:pPr>
        <w:pStyle w:val="B1"/>
        <w:ind w:left="0" w:firstLine="0"/>
      </w:pPr>
      <w:r>
        <w:t xml:space="preserve">Having UEs receive </w:t>
      </w:r>
      <w:r w:rsidR="00112115">
        <w:t xml:space="preserve">an MBMS bearer </w:t>
      </w:r>
      <w:r>
        <w:t>used for groups also other than its own of course implies increased power consumption</w:t>
      </w:r>
      <w:r w:rsidR="00117BC1">
        <w:t>, because the UE will need to receive any active data transmission for another group before it is able to determine, at upper layers, that its own group was not concerned</w:t>
      </w:r>
      <w:r>
        <w:t>. But such common, i.e. non-service-specific MBMS bearers could be the ones that are kept pre-established and what the UEs would monitor; the beginning of a group call could be delivered on such a common bearer initially, until a service-dedicated MBMS bearer has properly been established for that call. The UEs would need to be pre-informed with both the TMGI of the common bearer to keep monitoring, and the service-specific TMGI to be used with service-specific MBMS bearers.</w:t>
      </w:r>
    </w:p>
    <w:p w:rsidR="00C723E4" w:rsidRDefault="00C723E4" w:rsidP="00C723E4">
      <w:pPr>
        <w:pStyle w:val="B1"/>
        <w:ind w:left="0" w:firstLine="0"/>
      </w:pPr>
      <w:r>
        <w:t xml:space="preserve">Having </w:t>
      </w:r>
      <w:r w:rsidR="00CB163A">
        <w:t xml:space="preserve">each </w:t>
      </w:r>
      <w:r>
        <w:t xml:space="preserve">pre-established MBMS bearer serve the purpose of fast call setup for many services </w:t>
      </w:r>
      <w:r w:rsidR="00CB163A">
        <w:t xml:space="preserve">this way </w:t>
      </w:r>
      <w:r>
        <w:t>would solve the scalability issues.</w:t>
      </w:r>
    </w:p>
    <w:p w:rsidR="00C723E4" w:rsidRDefault="00C723E4" w:rsidP="00C723E4">
      <w:pPr>
        <w:ind w:left="1420" w:hanging="1135"/>
      </w:pPr>
      <w:r w:rsidRPr="005178DF">
        <w:rPr>
          <w:b/>
        </w:rPr>
        <w:t xml:space="preserve">Proposal </w:t>
      </w:r>
      <w:r w:rsidR="00610DC6">
        <w:rPr>
          <w:b/>
        </w:rPr>
        <w:t>8</w:t>
      </w:r>
      <w:r>
        <w:t>:</w:t>
      </w:r>
      <w:r>
        <w:tab/>
        <w:t>Capture in the TR the option of initial group-call delivery over common, non-service-specific pre-established MBMS bearers, as solving the scalability issue with pre-established service-specific MBMS bearers.</w:t>
      </w:r>
    </w:p>
    <w:p w:rsidR="000B6FEE" w:rsidRPr="000B6FEE" w:rsidRDefault="000B6FEE" w:rsidP="000B6FEE">
      <w:r>
        <w:t xml:space="preserve">Note: while the SA2 TR mentions multiplexing </w:t>
      </w:r>
      <w:r w:rsidR="00DA128A">
        <w:t xml:space="preserve">several calls on the same MBMS bearer, it </w:t>
      </w:r>
      <w:r>
        <w:t xml:space="preserve">does not capture </w:t>
      </w:r>
      <w:r w:rsidR="00DA128A">
        <w:t xml:space="preserve">this proposed </w:t>
      </w:r>
      <w:r>
        <w:t>overall solution.</w:t>
      </w:r>
    </w:p>
    <w:p w:rsidR="0034111C" w:rsidRPr="00B266B0" w:rsidRDefault="00B02EB3">
      <w:pPr>
        <w:pStyle w:val="Heading1"/>
      </w:pPr>
      <w:r>
        <w:t>3</w:t>
      </w:r>
      <w:r w:rsidR="0034111C" w:rsidRPr="00B266B0">
        <w:tab/>
      </w:r>
      <w:r w:rsidR="00EE7FA7" w:rsidRPr="00B266B0">
        <w:t>Conclusion</w:t>
      </w:r>
    </w:p>
    <w:p w:rsidR="00056544" w:rsidRDefault="00623DBD">
      <w:r>
        <w:t>We have discussed the ability of the current LTE MBMS to satisfy the broadcasting requirement</w:t>
      </w:r>
      <w:r w:rsidRPr="00B266B0" w:rsidDel="00623DBD">
        <w:t xml:space="preserve"> </w:t>
      </w:r>
      <w:r>
        <w:t>inherent in public-safety group communication, and conclude with the following:</w:t>
      </w:r>
    </w:p>
    <w:p w:rsidR="00610DC6" w:rsidRDefault="00610DC6" w:rsidP="00610DC6">
      <w:pPr>
        <w:ind w:left="1420" w:hanging="1135"/>
      </w:pPr>
      <w:r w:rsidRPr="00BA24C7">
        <w:rPr>
          <w:b/>
        </w:rPr>
        <w:t xml:space="preserve">Proposal </w:t>
      </w:r>
      <w:r>
        <w:rPr>
          <w:b/>
        </w:rPr>
        <w:t>1</w:t>
      </w:r>
      <w:r>
        <w:t>:</w:t>
      </w:r>
      <w:r>
        <w:tab/>
        <w:t>Any deviations from the SA1 requirements, if to be adopted by RAN2, are first confirmed with SA1 by LS.</w:t>
      </w:r>
    </w:p>
    <w:p w:rsidR="00610DC6" w:rsidRDefault="00610DC6" w:rsidP="00610DC6">
      <w:pPr>
        <w:ind w:left="1420" w:hanging="1135"/>
      </w:pPr>
      <w:r w:rsidRPr="00BA24C7">
        <w:rPr>
          <w:b/>
        </w:rPr>
        <w:t xml:space="preserve">Proposal </w:t>
      </w:r>
      <w:r>
        <w:rPr>
          <w:b/>
        </w:rPr>
        <w:t>2</w:t>
      </w:r>
      <w:r>
        <w:t>:</w:t>
      </w:r>
      <w:r>
        <w:tab/>
        <w:t xml:space="preserve">Request from SA1 that RAN2 may consider the scalability requirement reformulated as “Downlink transmission capacity shall not restrict how many </w:t>
      </w:r>
      <w:r w:rsidRPr="00DF390C">
        <w:t xml:space="preserve">receiver group members can </w:t>
      </w:r>
      <w:r>
        <w:t>receive given group communication.”</w:t>
      </w:r>
    </w:p>
    <w:p w:rsidR="00610DC6" w:rsidRDefault="00610DC6" w:rsidP="00610DC6">
      <w:r>
        <w:tab/>
      </w:r>
      <w:r w:rsidRPr="00311B73">
        <w:rPr>
          <w:b/>
        </w:rPr>
        <w:t xml:space="preserve">Proposal </w:t>
      </w:r>
      <w:r>
        <w:rPr>
          <w:b/>
        </w:rPr>
        <w:t>3</w:t>
      </w:r>
      <w:r>
        <w:t>:</w:t>
      </w:r>
      <w:r>
        <w:tab/>
        <w:t>Assume 20ms as the one-way delay between eNB and SGW/PGW alone.</w:t>
      </w:r>
    </w:p>
    <w:p w:rsidR="00610DC6" w:rsidRDefault="00610DC6" w:rsidP="00610DC6">
      <w:pPr>
        <w:ind w:left="1420" w:hanging="1135"/>
      </w:pPr>
      <w:r w:rsidRPr="005178DF">
        <w:rPr>
          <w:b/>
        </w:rPr>
        <w:t xml:space="preserve">Proposal </w:t>
      </w:r>
      <w:r>
        <w:rPr>
          <w:b/>
        </w:rPr>
        <w:t>4</w:t>
      </w:r>
      <w:r>
        <w:t>:</w:t>
      </w:r>
      <w:r>
        <w:tab/>
        <w:t xml:space="preserve">Remove the erroneous comment in the table on UP delay with </w:t>
      </w:r>
      <w:proofErr w:type="gramStart"/>
      <w:r>
        <w:t>MBMS, that</w:t>
      </w:r>
      <w:proofErr w:type="gramEnd"/>
      <w:r>
        <w:t xml:space="preserve"> says the SA1 requirement is met.</w:t>
      </w:r>
    </w:p>
    <w:p w:rsidR="00610DC6" w:rsidRDefault="00610DC6" w:rsidP="00610DC6">
      <w:pPr>
        <w:ind w:left="1420" w:hanging="1135"/>
      </w:pPr>
      <w:r w:rsidRPr="005178DF">
        <w:rPr>
          <w:b/>
        </w:rPr>
        <w:t xml:space="preserve">Proposal </w:t>
      </w:r>
      <w:r>
        <w:rPr>
          <w:b/>
        </w:rPr>
        <w:t>5</w:t>
      </w:r>
      <w:r>
        <w:t>:</w:t>
      </w:r>
      <w:r>
        <w:tab/>
        <w:t>Provided that the UE has kept informed of MCCH contents and has already registered with the GCSE_AS, the time-to-join delay requirement can be met with MBMS bearer.</w:t>
      </w:r>
    </w:p>
    <w:p w:rsidR="00610DC6" w:rsidRDefault="00610DC6" w:rsidP="00610DC6">
      <w:pPr>
        <w:ind w:left="1420" w:hanging="1135"/>
      </w:pPr>
      <w:r w:rsidRPr="009B3D89">
        <w:rPr>
          <w:b/>
        </w:rPr>
        <w:t xml:space="preserve">Proposal </w:t>
      </w:r>
      <w:r>
        <w:rPr>
          <w:b/>
        </w:rPr>
        <w:t>6</w:t>
      </w:r>
      <w:r>
        <w:t>:</w:t>
      </w:r>
      <w:r>
        <w:tab/>
        <w:t>Agree that a standardized trigger for the UE to request unicast delivery when moving out of MBSFN area is needed.</w:t>
      </w:r>
    </w:p>
    <w:p w:rsidR="00610DC6" w:rsidRDefault="00610DC6" w:rsidP="00610DC6">
      <w:pPr>
        <w:ind w:left="1420" w:hanging="1135"/>
      </w:pPr>
      <w:r w:rsidRPr="009B3D89">
        <w:rPr>
          <w:b/>
        </w:rPr>
        <w:t xml:space="preserve">Proposal </w:t>
      </w:r>
      <w:r>
        <w:rPr>
          <w:b/>
        </w:rPr>
        <w:t>7</w:t>
      </w:r>
      <w:r>
        <w:t>:</w:t>
      </w:r>
      <w:r>
        <w:tab/>
        <w:t xml:space="preserve">Consider a measurement event based on the MBSFN measurements currently being defined in </w:t>
      </w:r>
      <w:proofErr w:type="gramStart"/>
      <w:r>
        <w:t>RAN1  as</w:t>
      </w:r>
      <w:proofErr w:type="gramEnd"/>
      <w:r>
        <w:t xml:space="preserve"> a potential trigger for the UE to infer it is moving out of MBSFN area. </w:t>
      </w:r>
    </w:p>
    <w:p w:rsidR="00610DC6" w:rsidRDefault="00610DC6" w:rsidP="00610DC6">
      <w:pPr>
        <w:ind w:left="1420" w:hanging="1135"/>
      </w:pPr>
      <w:r w:rsidRPr="005178DF">
        <w:rPr>
          <w:b/>
        </w:rPr>
        <w:lastRenderedPageBreak/>
        <w:t xml:space="preserve">Proposal </w:t>
      </w:r>
      <w:r>
        <w:rPr>
          <w:b/>
        </w:rPr>
        <w:t>8</w:t>
      </w:r>
      <w:r>
        <w:t>:</w:t>
      </w:r>
      <w:r>
        <w:tab/>
        <w:t>Capture in the TR the option of initial group-call delivery over common, non-service-specific pre-established MBMS bearers, as solving the scalability issue with pre-established service-specific MBMS bearers.</w:t>
      </w:r>
    </w:p>
    <w:p w:rsidR="0034111C" w:rsidRPr="00B266B0" w:rsidRDefault="0034111C">
      <w:pPr>
        <w:pStyle w:val="Heading1"/>
      </w:pPr>
      <w:r w:rsidRPr="00B266B0">
        <w:t>References</w:t>
      </w:r>
    </w:p>
    <w:p w:rsidR="00045DDF" w:rsidRDefault="00045DDF" w:rsidP="00045DDF">
      <w:pPr>
        <w:numPr>
          <w:ilvl w:val="0"/>
          <w:numId w:val="1"/>
        </w:numPr>
      </w:pPr>
      <w:bookmarkStart w:id="1" w:name="_Ref75086397"/>
      <w:r w:rsidRPr="002A0671">
        <w:t>RP-131382</w:t>
      </w:r>
      <w:r w:rsidRPr="00B266B0">
        <w:t xml:space="preserve"> </w:t>
      </w:r>
      <w:r w:rsidRPr="002A0671">
        <w:rPr>
          <w:i/>
          <w:iCs/>
        </w:rPr>
        <w:t>New SI proposal: Group Communication for LTE</w:t>
      </w:r>
      <w:r>
        <w:t xml:space="preserve"> -</w:t>
      </w:r>
      <w:r w:rsidRPr="00B266B0">
        <w:t xml:space="preserve"> </w:t>
      </w:r>
      <w:r w:rsidRPr="002A0671">
        <w:t>Alcatel-Lucent, Alcatel-Lucent Shanghai Bell, NSN</w:t>
      </w:r>
    </w:p>
    <w:p w:rsidR="009C09FE" w:rsidRPr="00B266B0" w:rsidRDefault="00723C71" w:rsidP="009C09FE">
      <w:pPr>
        <w:numPr>
          <w:ilvl w:val="0"/>
          <w:numId w:val="1"/>
        </w:numPr>
      </w:pPr>
      <w:hyperlink r:id="rId7" w:history="1">
        <w:r w:rsidR="009C09FE" w:rsidRPr="00B266B0">
          <w:rPr>
            <w:rStyle w:val="Hyperlink"/>
          </w:rPr>
          <w:t>3GPP T</w:t>
        </w:r>
        <w:r w:rsidR="009C09FE">
          <w:rPr>
            <w:rStyle w:val="Hyperlink"/>
          </w:rPr>
          <w:t>R</w:t>
        </w:r>
        <w:r w:rsidR="009C09FE" w:rsidRPr="00B266B0">
          <w:rPr>
            <w:rStyle w:val="Hyperlink"/>
          </w:rPr>
          <w:t xml:space="preserve"> </w:t>
        </w:r>
        <w:r w:rsidR="00B75610">
          <w:rPr>
            <w:rStyle w:val="Hyperlink"/>
          </w:rPr>
          <w:t>36.8</w:t>
        </w:r>
        <w:r w:rsidR="009C09FE">
          <w:rPr>
            <w:rStyle w:val="Hyperlink"/>
          </w:rPr>
          <w:t>68</w:t>
        </w:r>
      </w:hyperlink>
      <w:r w:rsidR="009C09FE" w:rsidRPr="00B266B0">
        <w:t xml:space="preserve"> </w:t>
      </w:r>
      <w:r w:rsidR="009C09FE" w:rsidRPr="009C09FE">
        <w:rPr>
          <w:i/>
        </w:rPr>
        <w:t>Study on Group Communication for E-UTRA</w:t>
      </w:r>
      <w:r w:rsidR="009C09FE" w:rsidRPr="006A5A82">
        <w:rPr>
          <w:i/>
          <w:iCs/>
        </w:rPr>
        <w:t xml:space="preserve"> </w:t>
      </w:r>
    </w:p>
    <w:p w:rsidR="00045DDF" w:rsidRPr="00B266B0" w:rsidRDefault="00723C71" w:rsidP="00045DDF">
      <w:pPr>
        <w:numPr>
          <w:ilvl w:val="0"/>
          <w:numId w:val="1"/>
        </w:numPr>
      </w:pPr>
      <w:hyperlink r:id="rId8" w:history="1">
        <w:r w:rsidR="00045DDF" w:rsidRPr="00B266B0">
          <w:rPr>
            <w:rStyle w:val="Hyperlink"/>
          </w:rPr>
          <w:t xml:space="preserve">3GPP TS </w:t>
        </w:r>
        <w:r w:rsidR="00045DDF">
          <w:rPr>
            <w:rStyle w:val="Hyperlink"/>
          </w:rPr>
          <w:t>22.468</w:t>
        </w:r>
      </w:hyperlink>
      <w:r w:rsidR="00045DDF" w:rsidRPr="00B266B0">
        <w:t xml:space="preserve"> </w:t>
      </w:r>
      <w:r w:rsidR="00045DDF" w:rsidRPr="006A5A82">
        <w:rPr>
          <w:i/>
          <w:iCs/>
        </w:rPr>
        <w:t>Group Communication System Enablers for LTE (GCSE_LTE) Stage 1</w:t>
      </w:r>
    </w:p>
    <w:p w:rsidR="00045DDF" w:rsidRPr="00B266B0" w:rsidRDefault="00723C71" w:rsidP="00045DDF">
      <w:pPr>
        <w:numPr>
          <w:ilvl w:val="0"/>
          <w:numId w:val="1"/>
        </w:numPr>
      </w:pPr>
      <w:hyperlink r:id="rId9" w:history="1">
        <w:r w:rsidR="00045DDF" w:rsidRPr="00B266B0">
          <w:rPr>
            <w:rStyle w:val="Hyperlink"/>
          </w:rPr>
          <w:t>3GPP T</w:t>
        </w:r>
        <w:r w:rsidR="00045DDF">
          <w:rPr>
            <w:rStyle w:val="Hyperlink"/>
          </w:rPr>
          <w:t>R</w:t>
        </w:r>
        <w:r w:rsidR="00045DDF" w:rsidRPr="00B266B0">
          <w:rPr>
            <w:rStyle w:val="Hyperlink"/>
          </w:rPr>
          <w:t xml:space="preserve"> </w:t>
        </w:r>
        <w:r w:rsidR="00045DDF">
          <w:rPr>
            <w:rStyle w:val="Hyperlink"/>
          </w:rPr>
          <w:t>23.768</w:t>
        </w:r>
      </w:hyperlink>
      <w:r w:rsidR="00045DDF" w:rsidRPr="00B266B0">
        <w:t xml:space="preserve"> </w:t>
      </w:r>
      <w:r w:rsidR="00045DDF" w:rsidRPr="002D20EB">
        <w:rPr>
          <w:i/>
        </w:rPr>
        <w:t>Study on Architecture Enhancements to Support</w:t>
      </w:r>
      <w:r w:rsidR="00045DDF" w:rsidRPr="002D20EB">
        <w:t xml:space="preserve"> </w:t>
      </w:r>
      <w:r w:rsidR="00045DDF" w:rsidRPr="006A5A82">
        <w:rPr>
          <w:i/>
          <w:iCs/>
        </w:rPr>
        <w:t xml:space="preserve">Group Communication System Enablers for LTE </w:t>
      </w:r>
    </w:p>
    <w:p w:rsidR="00045DDF" w:rsidRPr="00B266B0" w:rsidRDefault="00045DDF" w:rsidP="00045DDF">
      <w:pPr>
        <w:numPr>
          <w:ilvl w:val="0"/>
          <w:numId w:val="1"/>
        </w:numPr>
      </w:pPr>
      <w:r>
        <w:t>S</w:t>
      </w:r>
      <w:r w:rsidRPr="00B266B0">
        <w:t>2-1</w:t>
      </w:r>
      <w:r>
        <w:t>31607</w:t>
      </w:r>
      <w:r w:rsidRPr="00B266B0">
        <w:t xml:space="preserve"> </w:t>
      </w:r>
      <w:r w:rsidRPr="00045DDF">
        <w:rPr>
          <w:i/>
          <w:iCs/>
        </w:rPr>
        <w:t>Public Safety Group Call use metrics</w:t>
      </w:r>
      <w:r>
        <w:t xml:space="preserve"> -</w:t>
      </w:r>
      <w:r w:rsidRPr="00B266B0">
        <w:t xml:space="preserve"> </w:t>
      </w:r>
      <w:r w:rsidRPr="00045DDF">
        <w:t>UK Home Office</w:t>
      </w:r>
    </w:p>
    <w:p w:rsidR="00C01DCD" w:rsidRPr="00A15CE9" w:rsidRDefault="00723C71" w:rsidP="00C01DCD">
      <w:pPr>
        <w:numPr>
          <w:ilvl w:val="0"/>
          <w:numId w:val="1"/>
        </w:numPr>
      </w:pPr>
      <w:hyperlink r:id="rId10" w:history="1">
        <w:r w:rsidR="00C01DCD" w:rsidRPr="00C01DCD">
          <w:rPr>
            <w:rStyle w:val="Hyperlink"/>
          </w:rPr>
          <w:t>3GPP TS 23.203</w:t>
        </w:r>
      </w:hyperlink>
      <w:r w:rsidR="00C01DCD" w:rsidRPr="00B266B0">
        <w:t xml:space="preserve"> </w:t>
      </w:r>
      <w:r w:rsidR="00C01DCD" w:rsidRPr="00C01DCD">
        <w:rPr>
          <w:i/>
          <w:iCs/>
        </w:rPr>
        <w:t>Policy and charging control architecture</w:t>
      </w:r>
    </w:p>
    <w:p w:rsidR="00A15CE9" w:rsidRDefault="00A15CE9" w:rsidP="00A15CE9">
      <w:pPr>
        <w:numPr>
          <w:ilvl w:val="0"/>
          <w:numId w:val="1"/>
        </w:numPr>
      </w:pPr>
      <w:r>
        <w:t xml:space="preserve">RP-131369, </w:t>
      </w:r>
      <w:r>
        <w:rPr>
          <w:i/>
        </w:rPr>
        <w:t>New Work Item Proposal: Further MBMS Operations Support for E-UTRAN</w:t>
      </w:r>
      <w:r>
        <w:t>, Verizon, RAN#61, Sept. 2013.</w:t>
      </w:r>
    </w:p>
    <w:p w:rsidR="00A15CE9" w:rsidRPr="00A15CE9" w:rsidRDefault="00A15CE9" w:rsidP="00A15CE9">
      <w:pPr>
        <w:numPr>
          <w:ilvl w:val="0"/>
          <w:numId w:val="1"/>
        </w:numPr>
      </w:pPr>
      <w:r>
        <w:t>R1-134970, Chairman’s Notes of Agenda Item 7.2.5: Further MBMS Operations Support</w:t>
      </w:r>
      <w:r>
        <w:tab/>
        <w:t>Session Chairman (Alcatel-Lucent)</w:t>
      </w:r>
    </w:p>
    <w:p w:rsidR="0077548E" w:rsidRPr="00B266B0" w:rsidRDefault="00723C71" w:rsidP="0077548E">
      <w:pPr>
        <w:numPr>
          <w:ilvl w:val="0"/>
          <w:numId w:val="1"/>
        </w:numPr>
      </w:pPr>
      <w:hyperlink r:id="rId11" w:history="1">
        <w:r w:rsidR="0077548E" w:rsidRPr="00B266B0">
          <w:rPr>
            <w:rStyle w:val="Hyperlink"/>
          </w:rPr>
          <w:t xml:space="preserve">3GPP TS </w:t>
        </w:r>
        <w:r w:rsidR="00EE7FA7" w:rsidRPr="00B266B0">
          <w:rPr>
            <w:rStyle w:val="Hyperlink"/>
          </w:rPr>
          <w:t>36</w:t>
        </w:r>
        <w:r w:rsidR="0077548E" w:rsidRPr="00B266B0">
          <w:rPr>
            <w:rStyle w:val="Hyperlink"/>
          </w:rPr>
          <w:t>.</w:t>
        </w:r>
        <w:r w:rsidR="00EE7FA7" w:rsidRPr="00B266B0">
          <w:rPr>
            <w:rStyle w:val="Hyperlink"/>
          </w:rPr>
          <w:t>300</w:t>
        </w:r>
      </w:hyperlink>
      <w:r w:rsidR="0077548E" w:rsidRPr="00B266B0">
        <w:t xml:space="preserve"> </w:t>
      </w:r>
      <w:r w:rsidR="00EE7FA7" w:rsidRPr="00B266B0">
        <w:rPr>
          <w:i/>
          <w:iCs/>
        </w:rPr>
        <w:t>E-UTRAN Stage 2</w:t>
      </w:r>
    </w:p>
    <w:p w:rsidR="00C96F79" w:rsidRPr="00B266B0" w:rsidRDefault="00723C71" w:rsidP="0077548E">
      <w:pPr>
        <w:numPr>
          <w:ilvl w:val="0"/>
          <w:numId w:val="1"/>
        </w:numPr>
      </w:pPr>
      <w:hyperlink r:id="rId12" w:history="1">
        <w:r w:rsidR="00C96F79" w:rsidRPr="00B266B0">
          <w:rPr>
            <w:rStyle w:val="Hyperlink"/>
            <w:iCs/>
          </w:rPr>
          <w:t>3GPP TS 36.321</w:t>
        </w:r>
      </w:hyperlink>
      <w:r w:rsidR="00756832" w:rsidRPr="00B266B0">
        <w:rPr>
          <w:iCs/>
        </w:rPr>
        <w:t xml:space="preserve"> </w:t>
      </w:r>
      <w:r w:rsidR="00756832" w:rsidRPr="00B266B0">
        <w:rPr>
          <w:i/>
          <w:iCs/>
        </w:rPr>
        <w:t>Medium Access Control (MAC) protocol specification</w:t>
      </w:r>
      <w:r w:rsidR="00C96F79" w:rsidRPr="00B266B0">
        <w:rPr>
          <w:iCs/>
        </w:rPr>
        <w:t xml:space="preserve"> </w:t>
      </w:r>
    </w:p>
    <w:p w:rsidR="00C96F79" w:rsidRPr="00B266B0" w:rsidRDefault="00723C71" w:rsidP="00C96F79">
      <w:pPr>
        <w:numPr>
          <w:ilvl w:val="0"/>
          <w:numId w:val="1"/>
        </w:numPr>
      </w:pPr>
      <w:hyperlink r:id="rId13" w:history="1">
        <w:r w:rsidR="00C96F79" w:rsidRPr="00B266B0">
          <w:rPr>
            <w:rStyle w:val="Hyperlink"/>
            <w:iCs/>
          </w:rPr>
          <w:t>3GPP TS 36.322</w:t>
        </w:r>
      </w:hyperlink>
      <w:r w:rsidR="00C96F79" w:rsidRPr="00B266B0">
        <w:rPr>
          <w:iCs/>
        </w:rPr>
        <w:t xml:space="preserve"> </w:t>
      </w:r>
      <w:r w:rsidR="00756832" w:rsidRPr="00B266B0">
        <w:rPr>
          <w:i/>
          <w:iCs/>
        </w:rPr>
        <w:t>Radio Link Control (RLC) protocol specification</w:t>
      </w:r>
    </w:p>
    <w:p w:rsidR="00C96F79" w:rsidRPr="00B266B0" w:rsidRDefault="00723C71" w:rsidP="00C96F79">
      <w:pPr>
        <w:numPr>
          <w:ilvl w:val="0"/>
          <w:numId w:val="1"/>
        </w:numPr>
      </w:pPr>
      <w:hyperlink r:id="rId14" w:history="1">
        <w:r w:rsidR="00C96F79" w:rsidRPr="00B266B0">
          <w:rPr>
            <w:rStyle w:val="Hyperlink"/>
            <w:iCs/>
          </w:rPr>
          <w:t>3GPP TS 36.323</w:t>
        </w:r>
      </w:hyperlink>
      <w:r w:rsidR="00C96F79" w:rsidRPr="00B266B0">
        <w:rPr>
          <w:iCs/>
        </w:rPr>
        <w:t xml:space="preserve"> </w:t>
      </w:r>
      <w:r w:rsidR="00756832" w:rsidRPr="00B266B0">
        <w:rPr>
          <w:i/>
          <w:iCs/>
        </w:rPr>
        <w:t>Packet Data Convergence Protocol (PDCP) specification</w:t>
      </w:r>
    </w:p>
    <w:p w:rsidR="00756832" w:rsidRPr="00B266B0" w:rsidRDefault="00723C71" w:rsidP="00C96F79">
      <w:pPr>
        <w:numPr>
          <w:ilvl w:val="0"/>
          <w:numId w:val="1"/>
        </w:numPr>
      </w:pPr>
      <w:hyperlink r:id="rId15" w:history="1">
        <w:r w:rsidR="00C96F79" w:rsidRPr="00B266B0">
          <w:rPr>
            <w:rStyle w:val="Hyperlink"/>
            <w:iCs/>
          </w:rPr>
          <w:t>3GPP TS 36.331</w:t>
        </w:r>
      </w:hyperlink>
      <w:r w:rsidR="00C96F79" w:rsidRPr="00B266B0">
        <w:rPr>
          <w:iCs/>
        </w:rPr>
        <w:t xml:space="preserve"> </w:t>
      </w:r>
      <w:r w:rsidR="00756832" w:rsidRPr="00B266B0">
        <w:rPr>
          <w:i/>
          <w:iCs/>
        </w:rPr>
        <w:t xml:space="preserve">Radio Resource Control (RRC); Protocol specification </w:t>
      </w:r>
    </w:p>
    <w:p w:rsidR="0034111C" w:rsidRPr="00B266B0" w:rsidRDefault="00723C71" w:rsidP="00A43A3B">
      <w:pPr>
        <w:numPr>
          <w:ilvl w:val="0"/>
          <w:numId w:val="1"/>
        </w:numPr>
      </w:pPr>
      <w:hyperlink r:id="rId16" w:history="1">
        <w:r w:rsidR="00C96F79" w:rsidRPr="00B266B0">
          <w:rPr>
            <w:rStyle w:val="Hyperlink"/>
            <w:iCs/>
          </w:rPr>
          <w:t>3GPP TS 36.304</w:t>
        </w:r>
      </w:hyperlink>
      <w:r w:rsidR="00C96F79" w:rsidRPr="00B266B0">
        <w:rPr>
          <w:iCs/>
        </w:rPr>
        <w:t xml:space="preserve"> </w:t>
      </w:r>
      <w:r w:rsidR="00756832" w:rsidRPr="00B266B0">
        <w:rPr>
          <w:i/>
          <w:iCs/>
        </w:rPr>
        <w:t>User Equipment (UE) procedures in idle mode</w:t>
      </w:r>
      <w:bookmarkEnd w:id="1"/>
    </w:p>
    <w:sectPr w:rsidR="0034111C" w:rsidRPr="00B266B0" w:rsidSect="00A06ED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7C" w:rsidRDefault="00E9057C">
      <w:r>
        <w:separator/>
      </w:r>
    </w:p>
  </w:endnote>
  <w:endnote w:type="continuationSeparator" w:id="0">
    <w:p w:rsidR="00E9057C" w:rsidRDefault="00E90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7C" w:rsidRDefault="00E9057C">
      <w:r>
        <w:separator/>
      </w:r>
    </w:p>
  </w:footnote>
  <w:footnote w:type="continuationSeparator" w:id="0">
    <w:p w:rsidR="00E9057C" w:rsidRDefault="00E90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3" w:rsidRDefault="005867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F085DE4"/>
    <w:multiLevelType w:val="hybridMultilevel"/>
    <w:tmpl w:val="7B12F462"/>
    <w:lvl w:ilvl="0" w:tplc="703655F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97197A"/>
    <w:multiLevelType w:val="hybridMultilevel"/>
    <w:tmpl w:val="1102C506"/>
    <w:lvl w:ilvl="0" w:tplc="FD56968C">
      <w:start w:val="3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E55F8B"/>
    <w:multiLevelType w:val="hybridMultilevel"/>
    <w:tmpl w:val="FDEAA07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22E4CF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2137AF"/>
    <w:multiLevelType w:val="hybridMultilevel"/>
    <w:tmpl w:val="73D2CFA4"/>
    <w:lvl w:ilvl="0" w:tplc="1FEABC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216FE7"/>
    <w:multiLevelType w:val="hybridMultilevel"/>
    <w:tmpl w:val="871A98F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E05123"/>
    <w:multiLevelType w:val="hybridMultilevel"/>
    <w:tmpl w:val="88A82498"/>
    <w:lvl w:ilvl="0" w:tplc="040B000F">
      <w:start w:val="1"/>
      <w:numFmt w:val="decimal"/>
      <w:lvlText w:val="%1."/>
      <w:lvlJc w:val="left"/>
      <w:pPr>
        <w:ind w:left="644" w:hanging="360"/>
      </w:p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186932"/>
    <w:multiLevelType w:val="hybridMultilevel"/>
    <w:tmpl w:val="D070020A"/>
    <w:lvl w:ilvl="0" w:tplc="040B000F">
      <w:start w:val="1"/>
      <w:numFmt w:val="decimal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9"/>
  </w:num>
  <w:num w:numId="4">
    <w:abstractNumId w:val="13"/>
  </w:num>
  <w:num w:numId="5">
    <w:abstractNumId w:val="25"/>
  </w:num>
  <w:num w:numId="6">
    <w:abstractNumId w:val="10"/>
  </w:num>
  <w:num w:numId="7">
    <w:abstractNumId w:val="24"/>
  </w:num>
  <w:num w:numId="8">
    <w:abstractNumId w:val="3"/>
  </w:num>
  <w:num w:numId="9">
    <w:abstractNumId w:val="32"/>
  </w:num>
  <w:num w:numId="10">
    <w:abstractNumId w:val="5"/>
  </w:num>
  <w:num w:numId="11">
    <w:abstractNumId w:val="11"/>
  </w:num>
  <w:num w:numId="12">
    <w:abstractNumId w:val="16"/>
  </w:num>
  <w:num w:numId="13">
    <w:abstractNumId w:val="18"/>
  </w:num>
  <w:num w:numId="14">
    <w:abstractNumId w:val="2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7"/>
  </w:num>
  <w:num w:numId="17">
    <w:abstractNumId w:val="14"/>
  </w:num>
  <w:num w:numId="18">
    <w:abstractNumId w:val="31"/>
  </w:num>
  <w:num w:numId="19">
    <w:abstractNumId w:val="23"/>
  </w:num>
  <w:num w:numId="20">
    <w:abstractNumId w:val="22"/>
  </w:num>
  <w:num w:numId="21">
    <w:abstractNumId w:val="4"/>
  </w:num>
  <w:num w:numId="22">
    <w:abstractNumId w:val="7"/>
  </w:num>
  <w:num w:numId="23">
    <w:abstractNumId w:val="29"/>
  </w:num>
  <w:num w:numId="24">
    <w:abstractNumId w:val="8"/>
  </w:num>
  <w:num w:numId="25">
    <w:abstractNumId w:val="9"/>
  </w:num>
  <w:num w:numId="26">
    <w:abstractNumId w:val="27"/>
  </w:num>
  <w:num w:numId="27">
    <w:abstractNumId w:val="30"/>
  </w:num>
  <w:num w:numId="28">
    <w:abstractNumId w:val="20"/>
  </w:num>
  <w:num w:numId="29">
    <w:abstractNumId w:val="12"/>
  </w:num>
  <w:num w:numId="30">
    <w:abstractNumId w:val="26"/>
  </w:num>
  <w:num w:numId="31">
    <w:abstractNumId w:val="6"/>
  </w:num>
  <w:num w:numId="32">
    <w:abstractNumId w:val="1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grammar="clean"/>
  <w:linkStyles/>
  <w:stylePaneFormatFilter w:val="3F01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B2813"/>
    <w:rsid w:val="00004FA1"/>
    <w:rsid w:val="000074C4"/>
    <w:rsid w:val="00017EDA"/>
    <w:rsid w:val="000330EC"/>
    <w:rsid w:val="00045DDF"/>
    <w:rsid w:val="00047EE3"/>
    <w:rsid w:val="000511F9"/>
    <w:rsid w:val="000528A2"/>
    <w:rsid w:val="00056544"/>
    <w:rsid w:val="00057878"/>
    <w:rsid w:val="00057EF7"/>
    <w:rsid w:val="00063D9E"/>
    <w:rsid w:val="00064AD3"/>
    <w:rsid w:val="00065088"/>
    <w:rsid w:val="00070F49"/>
    <w:rsid w:val="00075FDA"/>
    <w:rsid w:val="00090D06"/>
    <w:rsid w:val="00094699"/>
    <w:rsid w:val="0009688D"/>
    <w:rsid w:val="00097C84"/>
    <w:rsid w:val="000A20BA"/>
    <w:rsid w:val="000A2BCD"/>
    <w:rsid w:val="000A3C8D"/>
    <w:rsid w:val="000B569E"/>
    <w:rsid w:val="000B6FEE"/>
    <w:rsid w:val="000C53E9"/>
    <w:rsid w:val="000D25CE"/>
    <w:rsid w:val="000E337A"/>
    <w:rsid w:val="000E5ECE"/>
    <w:rsid w:val="000E62A5"/>
    <w:rsid w:val="001008F4"/>
    <w:rsid w:val="00112115"/>
    <w:rsid w:val="00117BC1"/>
    <w:rsid w:val="00125BC0"/>
    <w:rsid w:val="0012673D"/>
    <w:rsid w:val="00126D51"/>
    <w:rsid w:val="00137D78"/>
    <w:rsid w:val="00140938"/>
    <w:rsid w:val="00143E61"/>
    <w:rsid w:val="001512C6"/>
    <w:rsid w:val="00151585"/>
    <w:rsid w:val="0016070E"/>
    <w:rsid w:val="00165033"/>
    <w:rsid w:val="001670EA"/>
    <w:rsid w:val="001674A0"/>
    <w:rsid w:val="001712F8"/>
    <w:rsid w:val="0017726A"/>
    <w:rsid w:val="001851FD"/>
    <w:rsid w:val="00193986"/>
    <w:rsid w:val="001A28C2"/>
    <w:rsid w:val="001B01FA"/>
    <w:rsid w:val="001B6BDC"/>
    <w:rsid w:val="001C5A48"/>
    <w:rsid w:val="001F0658"/>
    <w:rsid w:val="001F419E"/>
    <w:rsid w:val="001F5019"/>
    <w:rsid w:val="00202CBD"/>
    <w:rsid w:val="00204B3A"/>
    <w:rsid w:val="002070F1"/>
    <w:rsid w:val="00211024"/>
    <w:rsid w:val="002149AF"/>
    <w:rsid w:val="00222A7A"/>
    <w:rsid w:val="002237B6"/>
    <w:rsid w:val="00224A2C"/>
    <w:rsid w:val="00224E91"/>
    <w:rsid w:val="002312F4"/>
    <w:rsid w:val="00231FC7"/>
    <w:rsid w:val="00236450"/>
    <w:rsid w:val="0024336B"/>
    <w:rsid w:val="002433C5"/>
    <w:rsid w:val="00244C67"/>
    <w:rsid w:val="00251D57"/>
    <w:rsid w:val="00252C17"/>
    <w:rsid w:val="00285510"/>
    <w:rsid w:val="002A0671"/>
    <w:rsid w:val="002A352A"/>
    <w:rsid w:val="002B132E"/>
    <w:rsid w:val="002B165D"/>
    <w:rsid w:val="002B2813"/>
    <w:rsid w:val="002C5793"/>
    <w:rsid w:val="002C6034"/>
    <w:rsid w:val="002C6E97"/>
    <w:rsid w:val="002D20EB"/>
    <w:rsid w:val="002D365F"/>
    <w:rsid w:val="002D5F19"/>
    <w:rsid w:val="002D79E3"/>
    <w:rsid w:val="002F72DA"/>
    <w:rsid w:val="003048D7"/>
    <w:rsid w:val="003071F6"/>
    <w:rsid w:val="00311B73"/>
    <w:rsid w:val="00313CB0"/>
    <w:rsid w:val="00313F96"/>
    <w:rsid w:val="00325D7A"/>
    <w:rsid w:val="00332399"/>
    <w:rsid w:val="003329F2"/>
    <w:rsid w:val="0034111C"/>
    <w:rsid w:val="00341686"/>
    <w:rsid w:val="0034217F"/>
    <w:rsid w:val="00345405"/>
    <w:rsid w:val="00347D42"/>
    <w:rsid w:val="00352D21"/>
    <w:rsid w:val="00357B9C"/>
    <w:rsid w:val="003642A6"/>
    <w:rsid w:val="00376729"/>
    <w:rsid w:val="0037751C"/>
    <w:rsid w:val="00380A20"/>
    <w:rsid w:val="00390AE2"/>
    <w:rsid w:val="0039591E"/>
    <w:rsid w:val="003A38BE"/>
    <w:rsid w:val="003A597F"/>
    <w:rsid w:val="003A5A1A"/>
    <w:rsid w:val="003A6B47"/>
    <w:rsid w:val="003A71A8"/>
    <w:rsid w:val="003B030B"/>
    <w:rsid w:val="003C2EC4"/>
    <w:rsid w:val="003D402B"/>
    <w:rsid w:val="003E700A"/>
    <w:rsid w:val="003F1160"/>
    <w:rsid w:val="003F23E8"/>
    <w:rsid w:val="003F50A2"/>
    <w:rsid w:val="00407892"/>
    <w:rsid w:val="00407AB8"/>
    <w:rsid w:val="004176FF"/>
    <w:rsid w:val="00424FA7"/>
    <w:rsid w:val="00432110"/>
    <w:rsid w:val="00445FF7"/>
    <w:rsid w:val="0044646E"/>
    <w:rsid w:val="004531D8"/>
    <w:rsid w:val="00453341"/>
    <w:rsid w:val="004567B7"/>
    <w:rsid w:val="00461153"/>
    <w:rsid w:val="00461210"/>
    <w:rsid w:val="0046182C"/>
    <w:rsid w:val="00470B80"/>
    <w:rsid w:val="00472245"/>
    <w:rsid w:val="00483261"/>
    <w:rsid w:val="004919ED"/>
    <w:rsid w:val="00494767"/>
    <w:rsid w:val="00496B3C"/>
    <w:rsid w:val="004B74FF"/>
    <w:rsid w:val="004C0680"/>
    <w:rsid w:val="004C795A"/>
    <w:rsid w:val="004C7F93"/>
    <w:rsid w:val="004D4F7B"/>
    <w:rsid w:val="004D6D09"/>
    <w:rsid w:val="004E63F1"/>
    <w:rsid w:val="004E7415"/>
    <w:rsid w:val="004F0333"/>
    <w:rsid w:val="004F0DB4"/>
    <w:rsid w:val="004F1E74"/>
    <w:rsid w:val="004F2A89"/>
    <w:rsid w:val="004F5835"/>
    <w:rsid w:val="00510826"/>
    <w:rsid w:val="00511079"/>
    <w:rsid w:val="0051423C"/>
    <w:rsid w:val="00516F80"/>
    <w:rsid w:val="00516FD9"/>
    <w:rsid w:val="005178DF"/>
    <w:rsid w:val="0052048C"/>
    <w:rsid w:val="0052308C"/>
    <w:rsid w:val="005372F9"/>
    <w:rsid w:val="00543707"/>
    <w:rsid w:val="00544EDF"/>
    <w:rsid w:val="00546D51"/>
    <w:rsid w:val="005530F8"/>
    <w:rsid w:val="005557D8"/>
    <w:rsid w:val="00560CF5"/>
    <w:rsid w:val="00564700"/>
    <w:rsid w:val="005754FA"/>
    <w:rsid w:val="005831DD"/>
    <w:rsid w:val="00583D17"/>
    <w:rsid w:val="005861AF"/>
    <w:rsid w:val="00586763"/>
    <w:rsid w:val="00592CA9"/>
    <w:rsid w:val="005975C4"/>
    <w:rsid w:val="005A0FDB"/>
    <w:rsid w:val="005A1AE8"/>
    <w:rsid w:val="005C1E58"/>
    <w:rsid w:val="005C6936"/>
    <w:rsid w:val="005E0AFC"/>
    <w:rsid w:val="00600FCA"/>
    <w:rsid w:val="00602A95"/>
    <w:rsid w:val="00604367"/>
    <w:rsid w:val="0060702D"/>
    <w:rsid w:val="00610DC6"/>
    <w:rsid w:val="00614CD1"/>
    <w:rsid w:val="0062019A"/>
    <w:rsid w:val="00623DBD"/>
    <w:rsid w:val="0062453E"/>
    <w:rsid w:val="006345C3"/>
    <w:rsid w:val="0063467E"/>
    <w:rsid w:val="0063653D"/>
    <w:rsid w:val="0064276D"/>
    <w:rsid w:val="00645CD2"/>
    <w:rsid w:val="006621EA"/>
    <w:rsid w:val="00665574"/>
    <w:rsid w:val="00672FB3"/>
    <w:rsid w:val="00677925"/>
    <w:rsid w:val="00682F27"/>
    <w:rsid w:val="00691F7D"/>
    <w:rsid w:val="006A5A82"/>
    <w:rsid w:val="006B1831"/>
    <w:rsid w:val="006D6650"/>
    <w:rsid w:val="006E13D1"/>
    <w:rsid w:val="006E33A5"/>
    <w:rsid w:val="006E6BA3"/>
    <w:rsid w:val="00711E13"/>
    <w:rsid w:val="00712EDA"/>
    <w:rsid w:val="007163FF"/>
    <w:rsid w:val="0071705B"/>
    <w:rsid w:val="00720505"/>
    <w:rsid w:val="007211B3"/>
    <w:rsid w:val="00721F7B"/>
    <w:rsid w:val="007236A3"/>
    <w:rsid w:val="00723C71"/>
    <w:rsid w:val="00734B04"/>
    <w:rsid w:val="00735C6F"/>
    <w:rsid w:val="00736F4A"/>
    <w:rsid w:val="00744233"/>
    <w:rsid w:val="00747D1B"/>
    <w:rsid w:val="00750DED"/>
    <w:rsid w:val="00751E10"/>
    <w:rsid w:val="00756832"/>
    <w:rsid w:val="0077548E"/>
    <w:rsid w:val="0078457B"/>
    <w:rsid w:val="00787051"/>
    <w:rsid w:val="0078792A"/>
    <w:rsid w:val="007B5814"/>
    <w:rsid w:val="007B7496"/>
    <w:rsid w:val="007C18B6"/>
    <w:rsid w:val="007C2739"/>
    <w:rsid w:val="007C278A"/>
    <w:rsid w:val="007C6CB0"/>
    <w:rsid w:val="007D0C44"/>
    <w:rsid w:val="007D3352"/>
    <w:rsid w:val="007F31C9"/>
    <w:rsid w:val="0080153E"/>
    <w:rsid w:val="00803B34"/>
    <w:rsid w:val="008060DA"/>
    <w:rsid w:val="00814AB1"/>
    <w:rsid w:val="008202D6"/>
    <w:rsid w:val="00821698"/>
    <w:rsid w:val="00826DD9"/>
    <w:rsid w:val="008278B6"/>
    <w:rsid w:val="0084702C"/>
    <w:rsid w:val="00850851"/>
    <w:rsid w:val="00854553"/>
    <w:rsid w:val="008625DF"/>
    <w:rsid w:val="008743F3"/>
    <w:rsid w:val="0087444A"/>
    <w:rsid w:val="00875139"/>
    <w:rsid w:val="00875410"/>
    <w:rsid w:val="008777CE"/>
    <w:rsid w:val="008801A9"/>
    <w:rsid w:val="00881A5D"/>
    <w:rsid w:val="008826AB"/>
    <w:rsid w:val="0089406C"/>
    <w:rsid w:val="008B5290"/>
    <w:rsid w:val="008E00CB"/>
    <w:rsid w:val="008E0F52"/>
    <w:rsid w:val="008F43DA"/>
    <w:rsid w:val="00903EF2"/>
    <w:rsid w:val="00915B81"/>
    <w:rsid w:val="009213BD"/>
    <w:rsid w:val="009350B7"/>
    <w:rsid w:val="009364B6"/>
    <w:rsid w:val="009452F8"/>
    <w:rsid w:val="00947E44"/>
    <w:rsid w:val="00980D92"/>
    <w:rsid w:val="00985EF7"/>
    <w:rsid w:val="00997CF4"/>
    <w:rsid w:val="009A0DE3"/>
    <w:rsid w:val="009B3D89"/>
    <w:rsid w:val="009B453B"/>
    <w:rsid w:val="009B4DD2"/>
    <w:rsid w:val="009C09FE"/>
    <w:rsid w:val="009C2DD2"/>
    <w:rsid w:val="009C51D5"/>
    <w:rsid w:val="009C65DC"/>
    <w:rsid w:val="009E18EF"/>
    <w:rsid w:val="009E3B31"/>
    <w:rsid w:val="009E5AF5"/>
    <w:rsid w:val="009E70BE"/>
    <w:rsid w:val="009F0C02"/>
    <w:rsid w:val="009F7D66"/>
    <w:rsid w:val="00A00FA5"/>
    <w:rsid w:val="00A03C0D"/>
    <w:rsid w:val="00A04951"/>
    <w:rsid w:val="00A06ED1"/>
    <w:rsid w:val="00A15CE9"/>
    <w:rsid w:val="00A179E3"/>
    <w:rsid w:val="00A25F05"/>
    <w:rsid w:val="00A36E0F"/>
    <w:rsid w:val="00A43A3B"/>
    <w:rsid w:val="00A471FB"/>
    <w:rsid w:val="00A60FBF"/>
    <w:rsid w:val="00A61072"/>
    <w:rsid w:val="00A81951"/>
    <w:rsid w:val="00A82853"/>
    <w:rsid w:val="00A938E6"/>
    <w:rsid w:val="00AB143E"/>
    <w:rsid w:val="00AB1C55"/>
    <w:rsid w:val="00AC02C1"/>
    <w:rsid w:val="00AC0AB6"/>
    <w:rsid w:val="00AC0B30"/>
    <w:rsid w:val="00AC2A96"/>
    <w:rsid w:val="00AD3455"/>
    <w:rsid w:val="00AD3CAD"/>
    <w:rsid w:val="00AE3D3E"/>
    <w:rsid w:val="00AF1097"/>
    <w:rsid w:val="00AF3F7B"/>
    <w:rsid w:val="00B02EB3"/>
    <w:rsid w:val="00B04F3D"/>
    <w:rsid w:val="00B05678"/>
    <w:rsid w:val="00B1114E"/>
    <w:rsid w:val="00B12B42"/>
    <w:rsid w:val="00B1513F"/>
    <w:rsid w:val="00B266B0"/>
    <w:rsid w:val="00B3000E"/>
    <w:rsid w:val="00B326A8"/>
    <w:rsid w:val="00B34404"/>
    <w:rsid w:val="00B34E68"/>
    <w:rsid w:val="00B4037B"/>
    <w:rsid w:val="00B50D30"/>
    <w:rsid w:val="00B57263"/>
    <w:rsid w:val="00B63337"/>
    <w:rsid w:val="00B7267A"/>
    <w:rsid w:val="00B75610"/>
    <w:rsid w:val="00B80D90"/>
    <w:rsid w:val="00B82613"/>
    <w:rsid w:val="00B8389D"/>
    <w:rsid w:val="00B8581C"/>
    <w:rsid w:val="00B9198D"/>
    <w:rsid w:val="00B93008"/>
    <w:rsid w:val="00B93125"/>
    <w:rsid w:val="00B94721"/>
    <w:rsid w:val="00B94E0E"/>
    <w:rsid w:val="00B97CA3"/>
    <w:rsid w:val="00BA24C7"/>
    <w:rsid w:val="00BA60A7"/>
    <w:rsid w:val="00BA6F66"/>
    <w:rsid w:val="00BB3E2B"/>
    <w:rsid w:val="00BB58A2"/>
    <w:rsid w:val="00BB5AD5"/>
    <w:rsid w:val="00BC07D4"/>
    <w:rsid w:val="00BD21D6"/>
    <w:rsid w:val="00BD709B"/>
    <w:rsid w:val="00BE02B4"/>
    <w:rsid w:val="00BF0B5F"/>
    <w:rsid w:val="00BF10BC"/>
    <w:rsid w:val="00C0000C"/>
    <w:rsid w:val="00C01DCD"/>
    <w:rsid w:val="00C0517F"/>
    <w:rsid w:val="00C23010"/>
    <w:rsid w:val="00C230E8"/>
    <w:rsid w:val="00C249E7"/>
    <w:rsid w:val="00C31EE9"/>
    <w:rsid w:val="00C33E8E"/>
    <w:rsid w:val="00C43D2D"/>
    <w:rsid w:val="00C43FF0"/>
    <w:rsid w:val="00C52D35"/>
    <w:rsid w:val="00C5620D"/>
    <w:rsid w:val="00C723E4"/>
    <w:rsid w:val="00C8121E"/>
    <w:rsid w:val="00C9246C"/>
    <w:rsid w:val="00C94EE1"/>
    <w:rsid w:val="00C96F79"/>
    <w:rsid w:val="00CA1F15"/>
    <w:rsid w:val="00CB09DA"/>
    <w:rsid w:val="00CB163A"/>
    <w:rsid w:val="00CF3929"/>
    <w:rsid w:val="00CF5D28"/>
    <w:rsid w:val="00D008C8"/>
    <w:rsid w:val="00D064E8"/>
    <w:rsid w:val="00D13A35"/>
    <w:rsid w:val="00D2047E"/>
    <w:rsid w:val="00D47C16"/>
    <w:rsid w:val="00D50C12"/>
    <w:rsid w:val="00D52786"/>
    <w:rsid w:val="00D52DFE"/>
    <w:rsid w:val="00D53830"/>
    <w:rsid w:val="00D5798B"/>
    <w:rsid w:val="00D73C57"/>
    <w:rsid w:val="00D82CDA"/>
    <w:rsid w:val="00D874DF"/>
    <w:rsid w:val="00D93066"/>
    <w:rsid w:val="00D9415C"/>
    <w:rsid w:val="00DA128A"/>
    <w:rsid w:val="00DB0639"/>
    <w:rsid w:val="00DB0D2A"/>
    <w:rsid w:val="00DB3A47"/>
    <w:rsid w:val="00DB69C8"/>
    <w:rsid w:val="00DC7D76"/>
    <w:rsid w:val="00DD229E"/>
    <w:rsid w:val="00DD55E0"/>
    <w:rsid w:val="00DE3316"/>
    <w:rsid w:val="00DE3DBB"/>
    <w:rsid w:val="00DF0DAA"/>
    <w:rsid w:val="00DF390C"/>
    <w:rsid w:val="00DF55E0"/>
    <w:rsid w:val="00E039F2"/>
    <w:rsid w:val="00E0576C"/>
    <w:rsid w:val="00E2282D"/>
    <w:rsid w:val="00E231E0"/>
    <w:rsid w:val="00E3200A"/>
    <w:rsid w:val="00E51EC0"/>
    <w:rsid w:val="00E542A9"/>
    <w:rsid w:val="00E56AD1"/>
    <w:rsid w:val="00E60014"/>
    <w:rsid w:val="00E63F2C"/>
    <w:rsid w:val="00E807C5"/>
    <w:rsid w:val="00E817E0"/>
    <w:rsid w:val="00E827BF"/>
    <w:rsid w:val="00E85307"/>
    <w:rsid w:val="00E9057C"/>
    <w:rsid w:val="00E946A6"/>
    <w:rsid w:val="00E94D42"/>
    <w:rsid w:val="00E96E8E"/>
    <w:rsid w:val="00EA1D43"/>
    <w:rsid w:val="00EB0DBC"/>
    <w:rsid w:val="00EB136E"/>
    <w:rsid w:val="00EC35E5"/>
    <w:rsid w:val="00EC632C"/>
    <w:rsid w:val="00ED3366"/>
    <w:rsid w:val="00ED5B16"/>
    <w:rsid w:val="00EE15FC"/>
    <w:rsid w:val="00EE53F1"/>
    <w:rsid w:val="00EE76A9"/>
    <w:rsid w:val="00EE7FA7"/>
    <w:rsid w:val="00EF21C3"/>
    <w:rsid w:val="00F00496"/>
    <w:rsid w:val="00F167B7"/>
    <w:rsid w:val="00F242AD"/>
    <w:rsid w:val="00F2745C"/>
    <w:rsid w:val="00F424D4"/>
    <w:rsid w:val="00F452E8"/>
    <w:rsid w:val="00F476BB"/>
    <w:rsid w:val="00F5147E"/>
    <w:rsid w:val="00F532E8"/>
    <w:rsid w:val="00F537FF"/>
    <w:rsid w:val="00F634E0"/>
    <w:rsid w:val="00F64628"/>
    <w:rsid w:val="00F744D5"/>
    <w:rsid w:val="00F8449B"/>
    <w:rsid w:val="00F84A4F"/>
    <w:rsid w:val="00F914DE"/>
    <w:rsid w:val="00F92ADF"/>
    <w:rsid w:val="00F94011"/>
    <w:rsid w:val="00F94182"/>
    <w:rsid w:val="00FA0B6B"/>
    <w:rsid w:val="00FA6E7F"/>
    <w:rsid w:val="00FA7114"/>
    <w:rsid w:val="00FB2379"/>
    <w:rsid w:val="00FB6433"/>
    <w:rsid w:val="00FC3AEE"/>
    <w:rsid w:val="00FC40CF"/>
    <w:rsid w:val="00FC7306"/>
    <w:rsid w:val="00FD5285"/>
    <w:rsid w:val="00FE002E"/>
    <w:rsid w:val="00FE6389"/>
    <w:rsid w:val="00FE6D6F"/>
    <w:rsid w:val="00FF0E3F"/>
    <w:rsid w:val="00FF16F2"/>
    <w:rsid w:val="00FF3D04"/>
    <w:rsid w:val="00FF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27B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1851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851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851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51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1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1FD"/>
    <w:pPr>
      <w:outlineLvl w:val="5"/>
    </w:pPr>
  </w:style>
  <w:style w:type="paragraph" w:styleId="Heading7">
    <w:name w:val="heading 7"/>
    <w:basedOn w:val="H6"/>
    <w:next w:val="Normal"/>
    <w:qFormat/>
    <w:rsid w:val="001851FD"/>
    <w:pPr>
      <w:outlineLvl w:val="6"/>
    </w:pPr>
  </w:style>
  <w:style w:type="paragraph" w:styleId="Heading8">
    <w:name w:val="heading 8"/>
    <w:basedOn w:val="Heading1"/>
    <w:next w:val="Normal"/>
    <w:qFormat/>
    <w:rsid w:val="001851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51F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27B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27BF"/>
  </w:style>
  <w:style w:type="paragraph" w:customStyle="1" w:styleId="H6">
    <w:name w:val="H6"/>
    <w:basedOn w:val="Heading5"/>
    <w:next w:val="Normal"/>
    <w:rsid w:val="001851F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851FD"/>
    <w:pPr>
      <w:spacing w:before="180"/>
      <w:ind w:left="2693" w:hanging="2693"/>
    </w:pPr>
    <w:rPr>
      <w:b/>
    </w:rPr>
  </w:style>
  <w:style w:type="paragraph" w:styleId="TOC1">
    <w:name w:val="toc 1"/>
    <w:semiHidden/>
    <w:rsid w:val="001851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851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851FD"/>
    <w:pPr>
      <w:ind w:left="1701" w:hanging="1701"/>
    </w:pPr>
  </w:style>
  <w:style w:type="paragraph" w:styleId="TOC4">
    <w:name w:val="toc 4"/>
    <w:basedOn w:val="TOC3"/>
    <w:semiHidden/>
    <w:rsid w:val="001851FD"/>
    <w:pPr>
      <w:ind w:left="1418" w:hanging="1418"/>
    </w:pPr>
  </w:style>
  <w:style w:type="paragraph" w:styleId="TOC3">
    <w:name w:val="toc 3"/>
    <w:basedOn w:val="TOC2"/>
    <w:semiHidden/>
    <w:rsid w:val="001851FD"/>
    <w:pPr>
      <w:ind w:left="1134" w:hanging="1134"/>
    </w:pPr>
  </w:style>
  <w:style w:type="paragraph" w:styleId="TOC2">
    <w:name w:val="toc 2"/>
    <w:basedOn w:val="TOC1"/>
    <w:semiHidden/>
    <w:rsid w:val="001851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51FD"/>
    <w:pPr>
      <w:ind w:left="284"/>
    </w:pPr>
  </w:style>
  <w:style w:type="paragraph" w:styleId="Index1">
    <w:name w:val="index 1"/>
    <w:basedOn w:val="Normal"/>
    <w:semiHidden/>
    <w:rsid w:val="001851FD"/>
    <w:pPr>
      <w:keepLines/>
      <w:spacing w:after="0"/>
    </w:pPr>
  </w:style>
  <w:style w:type="paragraph" w:customStyle="1" w:styleId="ZH">
    <w:name w:val="ZH"/>
    <w:rsid w:val="001851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851FD"/>
    <w:pPr>
      <w:outlineLvl w:val="9"/>
    </w:pPr>
  </w:style>
  <w:style w:type="paragraph" w:styleId="ListNumber2">
    <w:name w:val="List Number 2"/>
    <w:basedOn w:val="ListNumber"/>
    <w:rsid w:val="001851FD"/>
    <w:pPr>
      <w:ind w:left="851"/>
    </w:pPr>
  </w:style>
  <w:style w:type="paragraph" w:styleId="ListNumber">
    <w:name w:val="List Number"/>
    <w:basedOn w:val="List"/>
    <w:rsid w:val="001851FD"/>
  </w:style>
  <w:style w:type="paragraph" w:styleId="List">
    <w:name w:val="List"/>
    <w:basedOn w:val="Normal"/>
    <w:rsid w:val="001851FD"/>
    <w:pPr>
      <w:ind w:left="568" w:hanging="284"/>
    </w:pPr>
  </w:style>
  <w:style w:type="paragraph" w:styleId="Header">
    <w:name w:val="header"/>
    <w:aliases w:val="header odd"/>
    <w:rsid w:val="001851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851FD"/>
    <w:rPr>
      <w:b/>
      <w:position w:val="6"/>
      <w:sz w:val="16"/>
    </w:rPr>
  </w:style>
  <w:style w:type="paragraph" w:styleId="FootnoteText">
    <w:name w:val="footnote text"/>
    <w:basedOn w:val="Normal"/>
    <w:semiHidden/>
    <w:rsid w:val="001851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851FD"/>
    <w:rPr>
      <w:b/>
    </w:rPr>
  </w:style>
  <w:style w:type="paragraph" w:customStyle="1" w:styleId="TAC">
    <w:name w:val="TAC"/>
    <w:basedOn w:val="TAL"/>
    <w:rsid w:val="001851FD"/>
    <w:pPr>
      <w:jc w:val="center"/>
    </w:pPr>
  </w:style>
  <w:style w:type="paragraph" w:customStyle="1" w:styleId="TAL">
    <w:name w:val="TAL"/>
    <w:basedOn w:val="Normal"/>
    <w:rsid w:val="001851F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851FD"/>
    <w:pPr>
      <w:keepNext w:val="0"/>
      <w:spacing w:before="0" w:after="240"/>
    </w:pPr>
  </w:style>
  <w:style w:type="paragraph" w:customStyle="1" w:styleId="TH">
    <w:name w:val="TH"/>
    <w:basedOn w:val="Normal"/>
    <w:rsid w:val="001851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851FD"/>
    <w:pPr>
      <w:keepLines/>
      <w:ind w:left="1135" w:hanging="851"/>
    </w:pPr>
  </w:style>
  <w:style w:type="paragraph" w:styleId="TOC9">
    <w:name w:val="toc 9"/>
    <w:basedOn w:val="TOC8"/>
    <w:semiHidden/>
    <w:rsid w:val="001851FD"/>
    <w:pPr>
      <w:ind w:left="1418" w:hanging="1418"/>
    </w:pPr>
  </w:style>
  <w:style w:type="paragraph" w:customStyle="1" w:styleId="EX">
    <w:name w:val="EX"/>
    <w:basedOn w:val="Normal"/>
    <w:rsid w:val="001851FD"/>
    <w:pPr>
      <w:keepLines/>
      <w:ind w:left="1702" w:hanging="1418"/>
    </w:pPr>
  </w:style>
  <w:style w:type="paragraph" w:customStyle="1" w:styleId="FP">
    <w:name w:val="FP"/>
    <w:basedOn w:val="Normal"/>
    <w:rsid w:val="001851FD"/>
    <w:pPr>
      <w:spacing w:after="0"/>
    </w:pPr>
  </w:style>
  <w:style w:type="paragraph" w:customStyle="1" w:styleId="LD">
    <w:name w:val="LD"/>
    <w:rsid w:val="001851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851FD"/>
    <w:pPr>
      <w:spacing w:after="0"/>
    </w:pPr>
  </w:style>
  <w:style w:type="paragraph" w:customStyle="1" w:styleId="EW">
    <w:name w:val="EW"/>
    <w:basedOn w:val="EX"/>
    <w:rsid w:val="001851FD"/>
    <w:pPr>
      <w:spacing w:after="0"/>
    </w:pPr>
  </w:style>
  <w:style w:type="paragraph" w:styleId="TOC6">
    <w:name w:val="toc 6"/>
    <w:basedOn w:val="TOC5"/>
    <w:next w:val="Normal"/>
    <w:semiHidden/>
    <w:rsid w:val="001851FD"/>
    <w:pPr>
      <w:ind w:left="1985" w:hanging="1985"/>
    </w:pPr>
  </w:style>
  <w:style w:type="paragraph" w:styleId="TOC7">
    <w:name w:val="toc 7"/>
    <w:basedOn w:val="TOC6"/>
    <w:next w:val="Normal"/>
    <w:semiHidden/>
    <w:rsid w:val="001851FD"/>
    <w:pPr>
      <w:ind w:left="2268" w:hanging="2268"/>
    </w:pPr>
  </w:style>
  <w:style w:type="paragraph" w:styleId="ListBullet2">
    <w:name w:val="List Bullet 2"/>
    <w:basedOn w:val="ListBullet"/>
    <w:rsid w:val="001851FD"/>
    <w:pPr>
      <w:ind w:left="851"/>
    </w:pPr>
  </w:style>
  <w:style w:type="paragraph" w:styleId="ListBullet">
    <w:name w:val="List Bullet"/>
    <w:basedOn w:val="List"/>
    <w:rsid w:val="001851FD"/>
  </w:style>
  <w:style w:type="paragraph" w:styleId="ListBullet3">
    <w:name w:val="List Bullet 3"/>
    <w:basedOn w:val="ListBullet2"/>
    <w:rsid w:val="001851FD"/>
    <w:pPr>
      <w:ind w:left="1135"/>
    </w:pPr>
  </w:style>
  <w:style w:type="paragraph" w:customStyle="1" w:styleId="EQ">
    <w:name w:val="EQ"/>
    <w:basedOn w:val="Normal"/>
    <w:next w:val="Normal"/>
    <w:rsid w:val="001851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851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51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851FD"/>
    <w:pPr>
      <w:jc w:val="right"/>
    </w:pPr>
  </w:style>
  <w:style w:type="paragraph" w:customStyle="1" w:styleId="TAN">
    <w:name w:val="TAN"/>
    <w:basedOn w:val="TAL"/>
    <w:rsid w:val="001851FD"/>
    <w:pPr>
      <w:ind w:left="851" w:hanging="851"/>
    </w:pPr>
  </w:style>
  <w:style w:type="paragraph" w:customStyle="1" w:styleId="ZA">
    <w:name w:val="ZA"/>
    <w:rsid w:val="001851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51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51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851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51FD"/>
    <w:pPr>
      <w:framePr w:wrap="notBeside" w:y="16161"/>
    </w:pPr>
  </w:style>
  <w:style w:type="character" w:customStyle="1" w:styleId="ZGSM">
    <w:name w:val="ZGSM"/>
    <w:rsid w:val="001851FD"/>
  </w:style>
  <w:style w:type="paragraph" w:styleId="List2">
    <w:name w:val="List 2"/>
    <w:basedOn w:val="List"/>
    <w:rsid w:val="001851FD"/>
    <w:pPr>
      <w:ind w:left="851"/>
    </w:pPr>
  </w:style>
  <w:style w:type="paragraph" w:customStyle="1" w:styleId="ZG">
    <w:name w:val="ZG"/>
    <w:rsid w:val="001851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851FD"/>
    <w:pPr>
      <w:ind w:left="1135"/>
    </w:pPr>
  </w:style>
  <w:style w:type="paragraph" w:styleId="List4">
    <w:name w:val="List 4"/>
    <w:basedOn w:val="List3"/>
    <w:rsid w:val="001851FD"/>
    <w:pPr>
      <w:ind w:left="1418"/>
    </w:pPr>
  </w:style>
  <w:style w:type="paragraph" w:styleId="List5">
    <w:name w:val="List 5"/>
    <w:basedOn w:val="List4"/>
    <w:rsid w:val="001851FD"/>
    <w:pPr>
      <w:ind w:left="1702"/>
    </w:pPr>
  </w:style>
  <w:style w:type="paragraph" w:customStyle="1" w:styleId="EditorsNote">
    <w:name w:val="Editor's Note"/>
    <w:basedOn w:val="NO"/>
    <w:rsid w:val="001851FD"/>
    <w:rPr>
      <w:color w:val="FF0000"/>
    </w:rPr>
  </w:style>
  <w:style w:type="paragraph" w:styleId="ListBullet4">
    <w:name w:val="List Bullet 4"/>
    <w:basedOn w:val="ListBullet3"/>
    <w:rsid w:val="001851FD"/>
    <w:pPr>
      <w:ind w:left="1418"/>
    </w:pPr>
  </w:style>
  <w:style w:type="paragraph" w:styleId="ListBullet5">
    <w:name w:val="List Bullet 5"/>
    <w:basedOn w:val="ListBullet4"/>
    <w:rsid w:val="001851FD"/>
    <w:pPr>
      <w:ind w:left="1702"/>
    </w:pPr>
  </w:style>
  <w:style w:type="paragraph" w:customStyle="1" w:styleId="B1">
    <w:name w:val="B1"/>
    <w:basedOn w:val="List"/>
    <w:rsid w:val="001851FD"/>
  </w:style>
  <w:style w:type="paragraph" w:customStyle="1" w:styleId="B2">
    <w:name w:val="B2"/>
    <w:basedOn w:val="List2"/>
    <w:rsid w:val="001851FD"/>
  </w:style>
  <w:style w:type="paragraph" w:customStyle="1" w:styleId="B3">
    <w:name w:val="B3"/>
    <w:basedOn w:val="List3"/>
    <w:rsid w:val="001851FD"/>
  </w:style>
  <w:style w:type="paragraph" w:customStyle="1" w:styleId="B4">
    <w:name w:val="B4"/>
    <w:basedOn w:val="List4"/>
    <w:rsid w:val="001851FD"/>
  </w:style>
  <w:style w:type="paragraph" w:customStyle="1" w:styleId="B5">
    <w:name w:val="B5"/>
    <w:basedOn w:val="List5"/>
    <w:rsid w:val="001851FD"/>
  </w:style>
  <w:style w:type="paragraph" w:styleId="Footer">
    <w:name w:val="footer"/>
    <w:basedOn w:val="Header"/>
    <w:rsid w:val="001851FD"/>
    <w:pPr>
      <w:jc w:val="center"/>
    </w:pPr>
    <w:rPr>
      <w:i/>
    </w:rPr>
  </w:style>
  <w:style w:type="paragraph" w:customStyle="1" w:styleId="ZTD">
    <w:name w:val="ZTD"/>
    <w:basedOn w:val="ZB"/>
    <w:rsid w:val="001851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851F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semiHidden/>
    <w:rsid w:val="001851FD"/>
    <w:rPr>
      <w:sz w:val="16"/>
    </w:rPr>
  </w:style>
  <w:style w:type="paragraph" w:styleId="CommentText">
    <w:name w:val="annotation text"/>
    <w:basedOn w:val="Normal"/>
    <w:semiHidden/>
    <w:rsid w:val="001851FD"/>
    <w:rPr>
      <w:rFonts w:eastAsia="MS Mincho"/>
    </w:rPr>
  </w:style>
  <w:style w:type="paragraph" w:styleId="BodyText2">
    <w:name w:val="Body Text 2"/>
    <w:basedOn w:val="Normal"/>
    <w:rsid w:val="001851F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851F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1851F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1851F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851FD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1851F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1851F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1851F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224E9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2468.htm" TargetMode="External"/><Relationship Id="rId13" Type="http://schemas.openxmlformats.org/officeDocument/2006/relationships/hyperlink" Target="http://www.3gpp.org/ftp/specs/html-info/36322.htm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3gpp.org/ftp/Specs/html-info/36868.htm" TargetMode="External"/><Relationship Id="rId12" Type="http://schemas.openxmlformats.org/officeDocument/2006/relationships/hyperlink" Target="http://www.3gpp.org/ftp/Specs/html-info/36321.ht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3gpp.org/ftp/specs/html-info/36304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html-info/36300.ht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3gpp.org/ftp/specs/html-info/36331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3203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3768.htm" TargetMode="External"/><Relationship Id="rId14" Type="http://schemas.openxmlformats.org/officeDocument/2006/relationships/hyperlink" Target="http://www.3gpp.org/ftp/specs/html-info/36323.ht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1712</Words>
  <Characters>9762</Characters>
  <Application>Microsoft Office Word</Application>
  <DocSecurity>0</DocSecurity>
  <Lines>81</Lines>
  <Paragraphs>22</Paragraphs>
  <ScaleCrop>false</ScaleCrop>
  <Company/>
  <LinksUpToDate>false</LinksUpToDate>
  <CharactersWithSpaces>11452</CharactersWithSpaces>
  <SharedDoc>false</SharedDoc>
  <HLinks>
    <vt:vector size="60" baseType="variant">
      <vt:variant>
        <vt:i4>1572937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http://www.3gpp.org/ftp/specs/html-info/36304.htm</vt:lpwstr>
      </vt:variant>
      <vt:variant>
        <vt:lpwstr/>
      </vt:variant>
      <vt:variant>
        <vt:i4>1769548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  <vt:variant>
        <vt:i4>1704014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http://www.3gpp.org/ftp/specs/html-info/36323.htm</vt:lpwstr>
      </vt:variant>
      <vt:variant>
        <vt:lpwstr/>
      </vt:variant>
      <vt:variant>
        <vt:i4>1704015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http://www.3gpp.org/ftp/specs/html-info/36322.htm</vt:lpwstr>
      </vt:variant>
      <vt:variant>
        <vt:lpwstr/>
      </vt:variant>
      <vt:variant>
        <vt:i4>1704012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http://www.3gpp.org/ftp/Specs/html-info/36321.htm</vt:lpwstr>
      </vt:variant>
      <vt:variant>
        <vt:lpwstr/>
      </vt:variant>
      <vt:variant>
        <vt:i4>1572941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http://www.3gpp.org/ftp/Specs/html-info/36300.htm</vt:lpwstr>
      </vt:variant>
      <vt:variant>
        <vt:lpwstr/>
      </vt:variant>
      <vt:variant>
        <vt:i4>1900622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http://www.3gpp.org/ftp/Specs/html-info/23203.htm</vt:lpwstr>
      </vt:variant>
      <vt:variant>
        <vt:lpwstr/>
      </vt:variant>
      <vt:variant>
        <vt:i4>1769536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http://www.3gpp.org/ftp/Specs/html-info/23768.htm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http://www.3gpp.org/ftp/Specs/html-info/22468.htm</vt:lpwstr>
      </vt:variant>
      <vt:variant>
        <vt:lpwstr/>
      </vt:variant>
      <vt:variant>
        <vt:i4>1966158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http://www.3gpp.org/ftp/Specs/html-info/36868.htm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2013-11-01T20:58:00Z</dcterms:created>
  <dcterms:modified xsi:type="dcterms:W3CDTF">2013-11-01T21:46:00Z</dcterms:modified>
</cp:coreProperties>
</file>